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5195"/>
        <w:gridCol w:w="5949"/>
      </w:tblGrid>
      <w:tr w:rsidR="00EE23CC" w:rsidRPr="00A06CF7" w:rsidTr="001F70B4">
        <w:trPr>
          <w:trHeight w:val="1695"/>
        </w:trPr>
        <w:tc>
          <w:tcPr>
            <w:tcW w:w="2331" w:type="pct"/>
          </w:tcPr>
          <w:p w:rsidR="00EE23CC" w:rsidRPr="00A06CF7" w:rsidRDefault="00A06CF7" w:rsidP="00EE23CC">
            <w:r w:rsidRPr="00A06CF7">
              <w:rPr>
                <w:noProof/>
                <w:lang w:eastAsia="hr-HR"/>
              </w:rPr>
              <w:drawing>
                <wp:inline distT="0" distB="0" distL="0" distR="0">
                  <wp:extent cx="2524262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5849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262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A06CF7" w:rsidRDefault="00EE23CC" w:rsidP="00EE23CC"/>
        </w:tc>
      </w:tr>
    </w:tbl>
    <w:tbl>
      <w:tblPr>
        <w:tblStyle w:val="Reetkatablice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A06CF7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A06CF7" w:rsidRDefault="00A06CF7" w:rsidP="001F70B4">
            <w:bookmarkStart w:id="0" w:name="_GoBack"/>
            <w:r w:rsidRPr="00A06CF7">
              <w:rPr>
                <w:noProof/>
                <w:lang w:eastAsia="hr-HR"/>
              </w:rPr>
              <w:drawing>
                <wp:inline distT="0" distB="0" distL="0" distR="0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22938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64B2D" w:rsidRPr="00A06CF7" w:rsidRDefault="00A64B2D" w:rsidP="00A64B2D">
      <w:pPr>
        <w:pStyle w:val="newsTitle"/>
        <w:spacing w:before="160"/>
        <w:rPr>
          <w:rFonts w:cs="Arial"/>
          <w:b/>
          <w:sz w:val="22"/>
        </w:rPr>
      </w:pPr>
      <w:r w:rsidRPr="00A06CF7">
        <w:rPr>
          <w:sz w:val="22"/>
        </w:rPr>
        <w:t>Europsko izvješće o drogama 2019.: osnovne informacije</w:t>
      </w:r>
    </w:p>
    <w:p w:rsidR="00A64B2D" w:rsidRPr="00A06CF7" w:rsidRDefault="00C219B6" w:rsidP="00A64B2D">
      <w:pPr>
        <w:pStyle w:val="newsSubTitle"/>
        <w:rPr>
          <w:rFonts w:cs="Arial"/>
          <w:sz w:val="22"/>
        </w:rPr>
      </w:pPr>
      <w:r w:rsidRPr="00A06CF7">
        <w:rPr>
          <w:sz w:val="22"/>
        </w:rPr>
        <w:t>Rekordne zapljene kokaina na konkurentnom tržištu droge</w:t>
      </w:r>
    </w:p>
    <w:p w:rsidR="00625228" w:rsidRDefault="006B6D93" w:rsidP="00625228">
      <w:pPr>
        <w:spacing w:after="260" w:line="260" w:lineRule="exact"/>
      </w:pPr>
      <w:r>
        <w:t xml:space="preserve">(6. lipnja 2019., LISABON) </w:t>
      </w:r>
      <w:r w:rsidR="00A64B2D" w:rsidRPr="00A06CF7">
        <w:t xml:space="preserve">Europa bilježi znakove povećane dostupnosti kokaina, s rekordnim zapljenama droge. To pokazuje </w:t>
      </w:r>
      <w:r w:rsidR="00A64B2D" w:rsidRPr="00A06CF7">
        <w:rPr>
          <w:b/>
          <w:i/>
        </w:rPr>
        <w:t>Europsko izvješće o drogama za 2019.: trendovi i razvoj</w:t>
      </w:r>
      <w:r w:rsidR="00A64B2D" w:rsidRPr="00A06CF7">
        <w:t xml:space="preserve">, koje je danas u Bruxellesu objavila </w:t>
      </w:r>
      <w:r w:rsidR="00A64B2D" w:rsidRPr="00A06CF7">
        <w:rPr>
          <w:b/>
        </w:rPr>
        <w:t>Agencija EU-a za droge (EMCDDA)</w:t>
      </w:r>
      <w:r w:rsidR="00A64B2D" w:rsidRPr="00A06CF7">
        <w:t xml:space="preserve"> (</w:t>
      </w:r>
      <w:r w:rsidR="00A64B2D" w:rsidRPr="00A06CF7">
        <w:rPr>
          <w:vertAlign w:val="superscript"/>
        </w:rPr>
        <w:t>1</w:t>
      </w:r>
      <w:r w:rsidR="00A64B2D" w:rsidRPr="00A06CF7">
        <w:t>). U svom godišnjem pregledu Agencija također utvrđuje izazove povezane s heroinom i novim sintetičkim opioidima, ispituje najnovija kretanja na tržištu kanabisa, sve veću ulogu Europe u proizvodnji sintetičkih droga i uporabu digitalnih tehnologija u svrhu zdravstvene dobrobiti u području droga.</w:t>
      </w:r>
    </w:p>
    <w:p w:rsidR="00625228" w:rsidRDefault="008734E8" w:rsidP="00625228">
      <w:pPr>
        <w:spacing w:after="260" w:line="260" w:lineRule="exact"/>
        <w:rPr>
          <w:szCs w:val="20"/>
        </w:rPr>
      </w:pPr>
      <w:r w:rsidRPr="00A06CF7">
        <w:t xml:space="preserve">Prema riječima </w:t>
      </w:r>
      <w:r w:rsidRPr="00A06CF7">
        <w:rPr>
          <w:b/>
          <w:szCs w:val="20"/>
        </w:rPr>
        <w:t>Dimitrisa Avramopoulosa,</w:t>
      </w:r>
      <w:r w:rsidRPr="007346FC">
        <w:rPr>
          <w:b/>
          <w:szCs w:val="20"/>
        </w:rPr>
        <w:t xml:space="preserve"> </w:t>
      </w:r>
      <w:r w:rsidR="007346FC" w:rsidRPr="007346FC">
        <w:rPr>
          <w:b/>
          <w:szCs w:val="20"/>
        </w:rPr>
        <w:t xml:space="preserve">EU </w:t>
      </w:r>
      <w:r w:rsidRPr="007346FC">
        <w:rPr>
          <w:b/>
          <w:szCs w:val="20"/>
        </w:rPr>
        <w:t>povjerenika za migracije, unutarnje poslove i građans</w:t>
      </w:r>
      <w:r w:rsidR="007346FC" w:rsidRPr="007346FC">
        <w:rPr>
          <w:b/>
          <w:szCs w:val="20"/>
        </w:rPr>
        <w:t>tvo</w:t>
      </w:r>
      <w:r w:rsidR="007346FC" w:rsidRPr="007346FC">
        <w:rPr>
          <w:szCs w:val="20"/>
        </w:rPr>
        <w:t>:</w:t>
      </w:r>
      <w:r w:rsidR="007346FC">
        <w:rPr>
          <w:b/>
          <w:szCs w:val="20"/>
        </w:rPr>
        <w:t xml:space="preserve"> </w:t>
      </w:r>
      <w:r w:rsidR="007346FC" w:rsidRPr="008F7F3C">
        <w:rPr>
          <w:szCs w:val="20"/>
        </w:rPr>
        <w:t>„</w:t>
      </w:r>
      <w:r w:rsidR="007346FC" w:rsidRPr="007346FC">
        <w:rPr>
          <w:szCs w:val="20"/>
        </w:rPr>
        <w:t>Današnje izvješće pokazuje složenu prirodu europskog fenomena droga. Droge su i dalje stalno rastuća, višestruka prijetnja našim društvima, koja utječe na život milijuna građana širom svijeta</w:t>
      </w:r>
      <w:r w:rsidR="007346FC">
        <w:rPr>
          <w:szCs w:val="20"/>
        </w:rPr>
        <w:t>. Potreban nam je koordinativniji</w:t>
      </w:r>
      <w:r w:rsidR="007346FC" w:rsidRPr="007346FC">
        <w:rPr>
          <w:szCs w:val="20"/>
        </w:rPr>
        <w:t xml:space="preserve"> pristup koji se bavi i ponudom i potražnjom</w:t>
      </w:r>
      <w:r w:rsidR="007346FC">
        <w:rPr>
          <w:szCs w:val="20"/>
        </w:rPr>
        <w:t xml:space="preserve"> u području droga</w:t>
      </w:r>
      <w:r w:rsidR="007346FC" w:rsidRPr="007346FC">
        <w:rPr>
          <w:szCs w:val="20"/>
        </w:rPr>
        <w:t>. Naši napori</w:t>
      </w:r>
      <w:r w:rsidR="007346FC">
        <w:rPr>
          <w:szCs w:val="20"/>
        </w:rPr>
        <w:t xml:space="preserve"> u zabrani novih psihoaktivnih tvari te naša pojačana suradnja s međunarodnim partnerima donose rezultate. No,</w:t>
      </w:r>
      <w:r w:rsidR="007346FC" w:rsidRPr="007346FC">
        <w:rPr>
          <w:szCs w:val="20"/>
        </w:rPr>
        <w:t xml:space="preserve"> također moramo pogledati ulogu digitalizacije na</w:t>
      </w:r>
      <w:r w:rsidR="007346FC">
        <w:rPr>
          <w:szCs w:val="20"/>
        </w:rPr>
        <w:t xml:space="preserve"> tržištu droga. Nemamo vremena za gubljenje. </w:t>
      </w:r>
      <w:r w:rsidR="007346FC" w:rsidRPr="007346FC">
        <w:rPr>
          <w:szCs w:val="20"/>
        </w:rPr>
        <w:t>Moramo biti koordinirani na nacionalnoj, europskoj i međunarodnoj razini. Zajedno s naš</w:t>
      </w:r>
      <w:r w:rsidR="007346FC">
        <w:rPr>
          <w:szCs w:val="20"/>
        </w:rPr>
        <w:t>om Europskom agencijom za droge</w:t>
      </w:r>
      <w:r w:rsidR="007346FC" w:rsidRPr="007346FC">
        <w:rPr>
          <w:szCs w:val="20"/>
        </w:rPr>
        <w:t xml:space="preserve"> i dalje ćemo imati vodeću ulogu u tom nastojanju.</w:t>
      </w:r>
      <w:r w:rsidR="007346FC">
        <w:rPr>
          <w:szCs w:val="20"/>
        </w:rPr>
        <w:t>“</w:t>
      </w:r>
    </w:p>
    <w:p w:rsidR="00625228" w:rsidRDefault="00C64A0E" w:rsidP="00625228">
      <w:pPr>
        <w:spacing w:after="260" w:line="260" w:lineRule="exact"/>
      </w:pPr>
      <w:r w:rsidRPr="00A06CF7">
        <w:t xml:space="preserve">U izvješću </w:t>
      </w:r>
      <w:r w:rsidRPr="00A06CF7">
        <w:rPr>
          <w:b/>
          <w:szCs w:val="20"/>
        </w:rPr>
        <w:t>EMCDDA-a</w:t>
      </w:r>
      <w:r w:rsidRPr="00A06CF7">
        <w:t xml:space="preserve"> naglašava se još uvijek velika dostupnost većine nezakonitih tvari. Posljednji podatci pokazuju da se u Europi (28 država članica EU-a, Turska i Norveška) godišnje zabilježi više od  milijun zapljena nezakonitih droga.</w:t>
      </w:r>
      <w:r w:rsidR="00410CF1">
        <w:t xml:space="preserve"> </w:t>
      </w:r>
      <w:r w:rsidRPr="00A06CF7">
        <w:t>Otprilike 96 milijuna odraslih osoba (15 – 64 godine) probalo je određenu nezakonitu drogu tijekom života, a procjenjuje se da godišnje 1,2 milijuna ljudi započinje tretman ovisnosti zbog uporabe nezakonitih droga (28 država članica EU-a). U 2018. u EU-u je prvi put otkriveno 55 novih psihoaktivnih tvari, čime je ukupni broj tvari pod nadzorom Agencije narastao na 730.</w:t>
      </w:r>
    </w:p>
    <w:p w:rsidR="0019413F" w:rsidRDefault="0019413F" w:rsidP="00625228">
      <w:pPr>
        <w:spacing w:after="260" w:line="260" w:lineRule="exact"/>
      </w:pPr>
      <w:r w:rsidRPr="00A06CF7">
        <w:rPr>
          <w:b/>
        </w:rPr>
        <w:t>Direktor EMCDDA-a Alexis Goosdeel</w:t>
      </w:r>
      <w:r w:rsidRPr="00A06CF7">
        <w:t xml:space="preserve"> kaže: „Izazovi s kojima se suočavamo u području droga nastavljaju rasti.</w:t>
      </w:r>
      <w:r w:rsidR="00410CF1">
        <w:t xml:space="preserve"> </w:t>
      </w:r>
      <w:r w:rsidR="00C219B6" w:rsidRPr="00A06CF7">
        <w:t>Ne samo da ima znakova veće dostupnosti uobičajenih droga na bazi biljaka, kao što je kokain, nego svjedočimo i razvoju tržišta na kojem sintetičke droge i proizvodnja droga unutar Europe postaju sve važniji. To je vidljivo iz problema povezanih s uporabom vrlo snažnih sintetičkih opioida, novih proizvodnih tehnika kojima se dobivaju MDMA i amfetamini, i u nedavnim postignućima u preradi morfija u heroin unutar europskih granica.”</w:t>
      </w:r>
    </w:p>
    <w:p w:rsidR="00CC05D1" w:rsidRPr="00A06CF7" w:rsidRDefault="00CC05D1" w:rsidP="00CC05D1">
      <w:pPr>
        <w:rPr>
          <w:rFonts w:cs="Arial"/>
          <w:b/>
          <w:szCs w:val="20"/>
        </w:rPr>
      </w:pPr>
      <w:r w:rsidRPr="00A06CF7">
        <w:rPr>
          <w:b/>
          <w:szCs w:val="20"/>
        </w:rPr>
        <w:t>Kokain: rekordne zapljene, nove metode distribucije i dokazi o sve većim zdravstvenim problemima</w:t>
      </w:r>
    </w:p>
    <w:p w:rsidR="00625228" w:rsidRDefault="002E4FF1" w:rsidP="00625228">
      <w:pPr>
        <w:spacing w:after="260" w:line="260" w:lineRule="exact"/>
      </w:pPr>
      <w:r w:rsidRPr="00A06CF7">
        <w:t xml:space="preserve">Najnoviji podatci o kokainu pokazuju da su i broj zapljena i količine zaplijenjenog kokaina dosegli rekordnu razinu. U 2017. godini u EU-u je zabilježeno više od 104 000 zapljena kokaina (98 000 u 2016.), što iznosi 140,4 tona, a to je otprilike dvostruko više od količine zaplijenjene u 2016. godini (70,9 tona) (slika 1.6). </w:t>
      </w:r>
      <w:r w:rsidR="008F7F3C">
        <w:br/>
      </w:r>
      <w:r w:rsidRPr="00A06CF7">
        <w:t>Iako je maloprodajna cijena kokaina ostala stabilna, čistoća kokaina koji se prodaje na ulici dosegla je najvišu razinu u desetljeću u 2017. godini (infografika, str. 26). Kokain ulazi u Europu brojnim rutama i na razne načine, no kao najveći izazov ističe se porast krijumčarenja velikih količina kokaina u prekomorskim brodskim kontejnerima.</w:t>
      </w:r>
    </w:p>
    <w:p w:rsidR="00D40CFC" w:rsidRDefault="00786F82" w:rsidP="00D40CFC">
      <w:pPr>
        <w:spacing w:after="260" w:line="260" w:lineRule="exact"/>
      </w:pPr>
      <w:r w:rsidRPr="00A06CF7">
        <w:lastRenderedPageBreak/>
        <w:t>Postoje dokazi da društveni mediji, mjesta na kriptotržištu i tehnike šifriranja imaju sve veću ulogu u omogućavanju da se trgovinom droge bave manje skupine i pojedinci. U pogledu tržišta kokaina, poduzetništvo se može vidjeti u inovativnim metodama distribucije. Jedan od primjera jest postojanje kokainskih ’pozivnih centara’ s brzom i fleksibilnom kurirskom dostavom. Takve metode, koje odražavaju potencijalnu „uberizaciju” trgovine kokainom (</w:t>
      </w:r>
      <w:r w:rsidRPr="00A06CF7">
        <w:rPr>
          <w:vertAlign w:val="superscript"/>
        </w:rPr>
        <w:t>2</w:t>
      </w:r>
      <w:r w:rsidRPr="00A06CF7">
        <w:t>), znak su konkurentnog tržišta na kojem se prodavači natječu nudeći dodatne usluge osim samog proizvoda.</w:t>
      </w:r>
    </w:p>
    <w:p w:rsidR="00D40CFC" w:rsidRDefault="00CC05D1" w:rsidP="00D40CFC">
      <w:pPr>
        <w:spacing w:after="260" w:line="260" w:lineRule="exact"/>
      </w:pPr>
      <w:r w:rsidRPr="00A06CF7">
        <w:t xml:space="preserve">Kokain je najčešće konzumirana nezakonita stimulativna droga u EU-u, s otprilike 2,6 milijuna mladih osoba (15 – 34 godine) koje su je konzumirale prošle godine (procjena za 2017. godinu). Novija analiza tragova droga u komunalnim otpadnim vodama pokazala je da se između 2017. i 2018. godine, u 22 od 38 gradova za koje su se prikupljali podatci u tom razdoblju, povećala razina tragova metabolita kokaina, što potvrđuje trend porasta zabilježen i u 2017. U 2018. godini najviše tragova standardiziranih za 1 000 osoba po danu zabilježeno je u gradovima </w:t>
      </w:r>
      <w:r w:rsidRPr="00A06CF7">
        <w:rPr>
          <w:b/>
          <w:szCs w:val="20"/>
        </w:rPr>
        <w:t>Belgije</w:t>
      </w:r>
      <w:r w:rsidRPr="00A06CF7">
        <w:t xml:space="preserve">, </w:t>
      </w:r>
      <w:r w:rsidR="00D40CFC" w:rsidRPr="00A06CF7">
        <w:rPr>
          <w:b/>
          <w:szCs w:val="20"/>
        </w:rPr>
        <w:t>Španjolske</w:t>
      </w:r>
      <w:r w:rsidR="00D40CFC">
        <w:rPr>
          <w:b/>
          <w:szCs w:val="20"/>
        </w:rPr>
        <w:t>,</w:t>
      </w:r>
      <w:r w:rsidR="00D40CFC" w:rsidRPr="00A06CF7">
        <w:rPr>
          <w:b/>
          <w:szCs w:val="20"/>
        </w:rPr>
        <w:t xml:space="preserve"> </w:t>
      </w:r>
      <w:r w:rsidRPr="00A06CF7">
        <w:rPr>
          <w:b/>
          <w:szCs w:val="20"/>
        </w:rPr>
        <w:t>Nizozemske</w:t>
      </w:r>
      <w:r w:rsidR="0041123B">
        <w:t xml:space="preserve"> </w:t>
      </w:r>
      <w:r w:rsidRPr="00A06CF7">
        <w:t xml:space="preserve">i </w:t>
      </w:r>
      <w:r w:rsidRPr="00A06CF7">
        <w:rPr>
          <w:b/>
          <w:szCs w:val="20"/>
        </w:rPr>
        <w:t>Ujedinjene Kraljevine</w:t>
      </w:r>
      <w:r w:rsidRPr="00A06CF7">
        <w:t xml:space="preserve">. Noviji podatci pokazuju porast i u nekim gradovima </w:t>
      </w:r>
      <w:r w:rsidRPr="00A06CF7">
        <w:rPr>
          <w:b/>
          <w:szCs w:val="20"/>
        </w:rPr>
        <w:t>istočne Europe</w:t>
      </w:r>
      <w:r w:rsidRPr="00A06CF7">
        <w:t>, iako s niske početne razine (pogledajte sliku 2.4).</w:t>
      </w:r>
    </w:p>
    <w:p w:rsidR="00630D0B" w:rsidRPr="00A06CF7" w:rsidRDefault="00752941" w:rsidP="00D40CFC">
      <w:pPr>
        <w:spacing w:after="260" w:line="260" w:lineRule="exact"/>
        <w:rPr>
          <w:rFonts w:cs="Arial"/>
          <w:szCs w:val="20"/>
        </w:rPr>
      </w:pPr>
      <w:r w:rsidRPr="00A06CF7">
        <w:t>Postoje znakovi da je porast u ponudi kokaina povezan s većim</w:t>
      </w:r>
      <w:r w:rsidR="0041123B">
        <w:t xml:space="preserve"> brojem zdravstvenih problema. </w:t>
      </w:r>
      <w:r w:rsidRPr="00A06CF7">
        <w:t xml:space="preserve">Najnovije procjene pokazuju da specijalizirani tretman ovisnosti zbog problema povezanih s kokainom trenutačno započinje oko 73 000 osoba. Posebno zabrinjava broj od 11 000 onih koji tretman započinju zbog problema povezanih s </w:t>
      </w:r>
      <w:r w:rsidRPr="00A06CF7">
        <w:rPr>
          <w:i/>
        </w:rPr>
        <w:t>crack</w:t>
      </w:r>
      <w:r w:rsidRPr="00A06CF7">
        <w:t xml:space="preserve"> kokainom, koji je posebno opasan oblik konzumacije kokaina. Broj „novih“ korisnika, za koje se navodi da im je prvi put potreban tretman zbog problema s kokainom, porastao je između 2014. i 2017. godine za 37 %, što ukazuje na to da su potrebe za tretmanima sve veće. Osim toga, kokain je 2017. godine bio najčešće prijavljivana nezakonita droga u hitnim bolničkim slučajevima povezanima s drogom, zabilježenim u mreži od 26 bolnica nadležnih za praćenje u 18 europskih zemalja (Europska mreža za praćenje hitnih slučajeva povezanih s drogom, Euro-DEN Plus) (slika 3.8).</w:t>
      </w:r>
    </w:p>
    <w:p w:rsidR="003E49E6" w:rsidRPr="00A06CF7" w:rsidRDefault="003E49E6" w:rsidP="00FA3EE7">
      <w:pPr>
        <w:rPr>
          <w:rFonts w:cs="Arial"/>
          <w:b/>
          <w:szCs w:val="20"/>
        </w:rPr>
      </w:pPr>
      <w:bookmarkStart w:id="1" w:name="_Toc509285"/>
      <w:r w:rsidRPr="00A06CF7">
        <w:rPr>
          <w:b/>
          <w:szCs w:val="20"/>
        </w:rPr>
        <w:t>Heroin: znakovi promjena na tržištu</w:t>
      </w:r>
    </w:p>
    <w:p w:rsidR="00D40CFC" w:rsidRDefault="006A1B4E" w:rsidP="00D40CFC">
      <w:pPr>
        <w:spacing w:after="260" w:line="260" w:lineRule="exact"/>
      </w:pPr>
      <w:r w:rsidRPr="00A06CF7">
        <w:t>Heroin je i dalje najčešći nezakoniti opioid na europskom tržištu droga i najviše pridonosi troškovima zbog zdravstvenih problema povezanih s drogom i troškovima društva. Količina heroina zaplijenjena u EU-u povećala se za više od tone u 2017. na 5,4 tona, s tim da je dodatnih 17,4 tona zaplijenjeno u Turskoj (dio te količine bio je namijenjen tržištu EU-a). Zabrinjava činjenica da je u EU-u 2017. godine zaplijenjena količina od 81 tonu i zaustavljena pošiljka od 243 tone anhidrida octene kiseline, kemikalije koja je prekursor heroina (tablica 1.2). Nadalje, nedavnih godina otkriveni su laboratoriji u kojima se u zemljama EU-a (</w:t>
      </w:r>
      <w:r w:rsidRPr="00A06CF7">
        <w:rPr>
          <w:b/>
          <w:szCs w:val="20"/>
        </w:rPr>
        <w:t xml:space="preserve">Bugarska, Češka, Španjolska </w:t>
      </w:r>
      <w:r w:rsidRPr="00A06CF7">
        <w:t>i</w:t>
      </w:r>
      <w:r w:rsidRPr="00A06CF7">
        <w:rPr>
          <w:b/>
          <w:szCs w:val="20"/>
        </w:rPr>
        <w:t xml:space="preserve"> Nizozemska</w:t>
      </w:r>
      <w:r w:rsidRPr="00A06CF7">
        <w:t>) uporabom toga prekursora proizvodio heroin iz morfija. Čistoća heroina i dalje je visoka, a maloprodajna cijena relativno niska (tijekom posljednjeg desetljeća cijena se snizila) (infografika, str. 24).</w:t>
      </w:r>
    </w:p>
    <w:p w:rsidR="003F1EF2" w:rsidRPr="00A06CF7" w:rsidRDefault="00D76273" w:rsidP="00D40CFC">
      <w:pPr>
        <w:spacing w:after="260" w:line="260" w:lineRule="exact"/>
        <w:rPr>
          <w:rFonts w:cs="Arial"/>
          <w:szCs w:val="20"/>
        </w:rPr>
      </w:pPr>
      <w:r w:rsidRPr="00A06CF7">
        <w:t xml:space="preserve">U skladu s globalnim </w:t>
      </w:r>
      <w:r w:rsidRPr="00A06CF7">
        <w:rPr>
          <w:b/>
          <w:szCs w:val="20"/>
        </w:rPr>
        <w:t>Programom održivog razvoja do 2030.</w:t>
      </w:r>
      <w:r w:rsidRPr="00A06CF7">
        <w:t xml:space="preserve"> Europa nastoji suzbiti virusni hepatitis koji je prijetnja za javno zdravlje. Da bi se postigao taj cilj, ključno je omogućiti intravenskim konzumentima heroina ili drugih droga, veći pristup prevenciji, testiranju i liječenju HBV-a i HCV-a, jer je u tih osoba najveći teret bolesti i najveći rizik od prijenosa. Izvješće </w:t>
      </w:r>
      <w:r w:rsidRPr="00A06CF7">
        <w:rPr>
          <w:b/>
          <w:szCs w:val="20"/>
        </w:rPr>
        <w:t>EMCDDA-a</w:t>
      </w:r>
      <w:r w:rsidRPr="00A06CF7">
        <w:t xml:space="preserve"> ističe potrebu da se pojačaju mjere koje se odnose na virusni hepatitis, a osobito u dijelovima </w:t>
      </w:r>
      <w:r w:rsidRPr="00A06CF7">
        <w:rPr>
          <w:b/>
          <w:szCs w:val="20"/>
        </w:rPr>
        <w:t>istočne Europe</w:t>
      </w:r>
      <w:r w:rsidRPr="00A06CF7">
        <w:t>.</w:t>
      </w:r>
    </w:p>
    <w:p w:rsidR="00FA3EE7" w:rsidRPr="00A06CF7" w:rsidRDefault="00FA3EE7" w:rsidP="00FA3EE7">
      <w:pPr>
        <w:rPr>
          <w:rFonts w:cs="Arial"/>
          <w:szCs w:val="20"/>
        </w:rPr>
      </w:pPr>
      <w:r w:rsidRPr="00A06CF7">
        <w:rPr>
          <w:b/>
          <w:szCs w:val="20"/>
        </w:rPr>
        <w:t>Novi sintetički opioidi: razlog za sve veću zabrinutost</w:t>
      </w:r>
    </w:p>
    <w:p w:rsidR="00A64A46" w:rsidRPr="00A06CF7" w:rsidRDefault="00FA3EE7" w:rsidP="00FA3EE7">
      <w:pPr>
        <w:rPr>
          <w:rFonts w:cs="Arial"/>
          <w:szCs w:val="20"/>
        </w:rPr>
      </w:pPr>
      <w:r w:rsidRPr="00A06CF7">
        <w:t xml:space="preserve">Trenutačna epidemija opioida u </w:t>
      </w:r>
      <w:r w:rsidRPr="00A06CF7">
        <w:rPr>
          <w:b/>
          <w:szCs w:val="20"/>
        </w:rPr>
        <w:t>Sjedinjenim Državama</w:t>
      </w:r>
      <w:r w:rsidRPr="00A06CF7">
        <w:t xml:space="preserve"> i </w:t>
      </w:r>
      <w:r w:rsidRPr="00A06CF7">
        <w:rPr>
          <w:b/>
          <w:szCs w:val="20"/>
        </w:rPr>
        <w:t>Kanadi</w:t>
      </w:r>
      <w:r w:rsidRPr="00A06CF7">
        <w:t xml:space="preserve"> u velikoj je mjeri potaknuta uporabom sintetičkih opioida, posebice fentanila i njegovih derivata. Iako te tvari danas čine tak mali dio tržišta droge u </w:t>
      </w:r>
      <w:r w:rsidRPr="00A06CF7">
        <w:rPr>
          <w:b/>
          <w:szCs w:val="20"/>
        </w:rPr>
        <w:t>Europi</w:t>
      </w:r>
      <w:r w:rsidRPr="00A06CF7">
        <w:t>, raste zabrinutost zbog trovanja i smrti povezanih s njima. U Europi je 2018. otkriveno jedanaest novih sintetičkih opioida, najčešće u obliku praha, tableta i tekućina. Budući da su potrebne samo male količine da bi se proizvelo mnogo tisuća uličnih doza, ove je tvari lako sakriti i prevoziti, što predstavlja izazov za provedbu zakona i carinjenje.</w:t>
      </w:r>
    </w:p>
    <w:p w:rsidR="00FA3EE7" w:rsidRPr="00A06CF7" w:rsidRDefault="004F48CE" w:rsidP="00FA3EE7">
      <w:pPr>
        <w:rPr>
          <w:rFonts w:cs="Arial"/>
          <w:szCs w:val="20"/>
        </w:rPr>
      </w:pPr>
      <w:r w:rsidRPr="00A06CF7">
        <w:t xml:space="preserve">Derivati fentanila čine većinu od 49 novih sintetičkih opioida koje nadzire </w:t>
      </w:r>
      <w:r w:rsidRPr="00A06CF7">
        <w:rPr>
          <w:b/>
          <w:szCs w:val="20"/>
        </w:rPr>
        <w:t>EMCDDA</w:t>
      </w:r>
      <w:r w:rsidR="0041123B">
        <w:t xml:space="preserve">. </w:t>
      </w:r>
      <w:r w:rsidRPr="00A06CF7">
        <w:t>U Europi je 2018. prvi put otkriveno šest derivata fentanila (od 2009. otkriveno ih je 34). Prema najnovijim podatcima, te vrlo snažne droge čine 70 % svih zapljena novih sintetičkih opioida (slika 1.12). Prijavljeno je više od 300 zapljena karfentanila, jedne od</w:t>
      </w:r>
      <w:r w:rsidR="0041123B">
        <w:t xml:space="preserve"> najjačih droga iz te skupine. </w:t>
      </w:r>
      <w:r w:rsidRPr="00A06CF7">
        <w:t>U EU-u je također zaplijenjeno ukupno 4,5 kg kemikalije koja je prekursor za proizvodnju derivata fentanila (</w:t>
      </w:r>
      <w:r w:rsidRPr="00A06CF7">
        <w:rPr>
          <w:i/>
          <w:szCs w:val="20"/>
        </w:rPr>
        <w:t>N</w:t>
      </w:r>
      <w:r w:rsidRPr="00A06CF7">
        <w:t>-fenetil-4-piperidon) (tablica 1.2).</w:t>
      </w:r>
    </w:p>
    <w:p w:rsidR="00FA3EE7" w:rsidRPr="00A06CF7" w:rsidRDefault="001C218B" w:rsidP="00FA3EE7">
      <w:pPr>
        <w:rPr>
          <w:rFonts w:cs="Arial"/>
          <w:szCs w:val="20"/>
        </w:rPr>
      </w:pPr>
      <w:r w:rsidRPr="00A06CF7">
        <w:lastRenderedPageBreak/>
        <w:t>Podatci praćenja tretmana ovisnosti o drogama pokazuju da danas jedna od svakih pet osoba (22 %) koje ulaze u tretman ovisnosti zbog problema povezanog s opioidima, kao svoju glavnu problematičnu drogu navodi zakoniti ili nezakoniti sintetički opioid, a ne heroin (slika 2.13). To pokazuje da u problemima s drogom u Europi sve veću ulogu imaju i lijekovi koji sadrže opioide.</w:t>
      </w:r>
    </w:p>
    <w:p w:rsidR="00200CFE" w:rsidRPr="00A06CF7" w:rsidRDefault="00971783" w:rsidP="00A21D3D">
      <w:pPr>
        <w:rPr>
          <w:rFonts w:cs="Arial"/>
          <w:szCs w:val="20"/>
        </w:rPr>
      </w:pPr>
      <w:r w:rsidRPr="00A06CF7">
        <w:rPr>
          <w:b/>
          <w:szCs w:val="20"/>
        </w:rPr>
        <w:t>Kanabis: nova kretanja povezana s najčešćom drogom u Europi</w:t>
      </w:r>
    </w:p>
    <w:p w:rsidR="00D40CFC" w:rsidRDefault="00A21D3D" w:rsidP="00D40CFC">
      <w:r w:rsidRPr="00A06CF7">
        <w:t xml:space="preserve">Kanabis je i dalje najraširenija nezakonita droga u Europi, što je jasno vidljivo iz podataka o prevalenciji, zapljenama i novim zahtjevima za tretman. Procjenjuje se da je u protekloj godini kanabis uzimalo otprilike </w:t>
      </w:r>
      <w:r w:rsidRPr="007B45EB">
        <w:t>17,5 milijuna mladih Europljana (15 – 34 g</w:t>
      </w:r>
      <w:r w:rsidR="00410CF1" w:rsidRPr="007B45EB">
        <w:t>odine) (28 država članica EU-a) (procjena za 2017. godinu).</w:t>
      </w:r>
    </w:p>
    <w:p w:rsidR="00D40CFC" w:rsidRDefault="00A21D3D" w:rsidP="00D40CFC">
      <w:r w:rsidRPr="00A06CF7">
        <w:t xml:space="preserve">U 2017. države članice EU-a prijavile su 782 000 zapljena proizvoda kanabisa (trave, smole, biljaka i ulja), </w:t>
      </w:r>
      <w:r w:rsidR="00C657DB">
        <w:br/>
      </w:r>
      <w:r w:rsidRPr="00A06CF7">
        <w:t xml:space="preserve">što je čini drogom s najvećim brojem zapljena u Europi. Količine zaplijenjene smole kanabisa više su nego dvostruko veće od količina zaplijenjenog biljnog kanabisa (466 tona u odnosu na 209 tona). U nedavnom istraživanju koje je provela </w:t>
      </w:r>
      <w:r w:rsidRPr="00A06CF7">
        <w:rPr>
          <w:b/>
          <w:szCs w:val="20"/>
        </w:rPr>
        <w:t>EMCDDA</w:t>
      </w:r>
      <w:r w:rsidRPr="00A06CF7">
        <w:t xml:space="preserve"> (</w:t>
      </w:r>
      <w:r w:rsidRPr="00A06CF7">
        <w:rPr>
          <w:szCs w:val="20"/>
          <w:vertAlign w:val="superscript"/>
        </w:rPr>
        <w:t>3</w:t>
      </w:r>
      <w:r w:rsidRPr="00A06CF7">
        <w:t>) ustanovljeno je da se tijekom prošlog desetljeća uobičajeni sadržaj tetrahidrokanabinola (THC) (</w:t>
      </w:r>
      <w:r w:rsidRPr="00A06CF7">
        <w:rPr>
          <w:szCs w:val="20"/>
          <w:vertAlign w:val="superscript"/>
        </w:rPr>
        <w:t>4</w:t>
      </w:r>
      <w:r w:rsidRPr="00A06CF7">
        <w:t xml:space="preserve">) u biljnom kanabisu i smoli udvostručio, što povećava zabrinutost u pogledu mogućih štetnih posljedica. U slučaju smole, pokretači povećanja prosječne potentnosti vjerojatno će uključiti biljke velike potentnosti i uvesti nove proizvodne tehnike u </w:t>
      </w:r>
      <w:r w:rsidRPr="00A06CF7">
        <w:rPr>
          <w:b/>
          <w:szCs w:val="20"/>
        </w:rPr>
        <w:t>Maroku</w:t>
      </w:r>
      <w:r w:rsidRPr="00A06CF7">
        <w:t xml:space="preserve">, glavnom proizvođaču smole za tržište </w:t>
      </w:r>
      <w:r w:rsidR="00C657DB">
        <w:br/>
      </w:r>
      <w:r w:rsidRPr="00A06CF7">
        <w:t>EU-a.</w:t>
      </w:r>
    </w:p>
    <w:p w:rsidR="00971783" w:rsidRPr="00A06CF7" w:rsidRDefault="00971783" w:rsidP="00D40CFC">
      <w:r w:rsidRPr="00A06CF7">
        <w:t>Prema procjeni, oko 1 % odraslih osoba (15 – 64 godine) u EU-u svakodnevno ili gotovo svakodnevno konzumira kanabis.</w:t>
      </w:r>
      <w:r w:rsidR="00410CF1">
        <w:t xml:space="preserve"> </w:t>
      </w:r>
      <w:r w:rsidR="00A21D3D" w:rsidRPr="00A06CF7">
        <w:t xml:space="preserve">Tijekom 2017. približno 155 000 osoba uključeno je u tretman ovisnosti u Europi zbog problema povezanih s tom drogom, a za otprilike njih 83 000 to je bio prvi tretman (infografika, str 44). </w:t>
      </w:r>
      <w:r w:rsidR="00C657DB">
        <w:br/>
      </w:r>
      <w:r w:rsidR="00A21D3D" w:rsidRPr="00A06CF7">
        <w:t>Kanabis je danas tvar koju osobe prvi put uključene u tretman u okviru službi specijaliziranih za tretman ovisnosti najčešće navode kao glavni razlog zbog kojeg im se obraćaju.</w:t>
      </w:r>
    </w:p>
    <w:p w:rsidR="00A21D3D" w:rsidRPr="00A06CF7" w:rsidRDefault="00B527A0" w:rsidP="00A21D3D">
      <w:pPr>
        <w:rPr>
          <w:rFonts w:cs="Arial"/>
          <w:b/>
          <w:szCs w:val="20"/>
        </w:rPr>
      </w:pPr>
      <w:r w:rsidRPr="00A06CF7">
        <w:rPr>
          <w:b/>
          <w:szCs w:val="20"/>
        </w:rPr>
        <w:t>Kanabis: novi proizvodi dodatni su problemi u kompleksnom području politika</w:t>
      </w:r>
    </w:p>
    <w:p w:rsidR="00C657DB" w:rsidRDefault="00A21D3D" w:rsidP="00C657DB">
      <w:pPr>
        <w:spacing w:after="260" w:line="260" w:lineRule="exact"/>
      </w:pPr>
      <w:r w:rsidRPr="00A06CF7">
        <w:t>Stvaranje tržišta legalnog rekreacijskog kanabisa izvan EU-a inovacija je koja potiče razvoj proizvoda (npr. tekućina, jestivih proizvoda i koncentrata), od kojih se neki sada pojavljuju na europskom tržištu i predstavljaju novi problem u smislu otkrivanja i kontrole droge.</w:t>
      </w:r>
    </w:p>
    <w:p w:rsidR="00F5245D" w:rsidRPr="00A06CF7" w:rsidRDefault="001456D7" w:rsidP="00C657DB">
      <w:pPr>
        <w:spacing w:after="260" w:line="260" w:lineRule="exact"/>
        <w:rPr>
          <w:rFonts w:cs="Arial"/>
          <w:szCs w:val="20"/>
        </w:rPr>
      </w:pPr>
      <w:r w:rsidRPr="00A06CF7">
        <w:t>Kanabis sadržava mnogo različitih kemijskih tvari, od kojih su najpoznatiji tetrahidrokanabinol (THC) i kanabidiol (CBD). Jedan od primjera brzog razvoja na tržištu kanabisa jest pojava proizvoda s malim sadržajem THC-a koji se u nekim zemljama EU-a prodaju u specijaliziranim trgovinama ili trgovinama zdrave hrane (</w:t>
      </w:r>
      <w:r w:rsidRPr="00A06CF7">
        <w:rPr>
          <w:szCs w:val="20"/>
          <w:vertAlign w:val="superscript"/>
        </w:rPr>
        <w:t>5</w:t>
      </w:r>
      <w:r w:rsidRPr="00A06CF7">
        <w:t xml:space="preserve">). Prodaja se provodi na temelju tvrdnje da ti proizvodi sadrže manje od 0,2 % ili 0,3 % THC-a, </w:t>
      </w:r>
      <w:r w:rsidR="00C657DB">
        <w:br/>
      </w:r>
      <w:r w:rsidRPr="00A06CF7">
        <w:t xml:space="preserve">dakle imaju male ili nikakve opojne učinke, i ne podliježu postojećim zakonima za kontrolu droge. </w:t>
      </w:r>
      <w:r w:rsidR="00123CB2">
        <w:br/>
      </w:r>
      <w:r w:rsidRPr="00A06CF7">
        <w:t>Sadržaj kanabidiola (CBD) u proizvodima katkad se pak ističe uz tvrdnju da ta tvar može imati korisna svojstva. Sada je dostupan čitav raspon proizvoda, uključujući biljke, mješavine za pušenje, tablete, losione i kreme. To postavlja regulatorna pitanja, pri čemu u nekim zemljama prodaja proizvoda s niskim sadržajem THC-a podliježe kaznama, dok druge dopuštaju njihovu trgovinu bez dozvole.</w:t>
      </w:r>
    </w:p>
    <w:p w:rsidR="001E10CF" w:rsidRPr="00A06CF7" w:rsidRDefault="001E10CF" w:rsidP="001E10CF">
      <w:pPr>
        <w:rPr>
          <w:rFonts w:cs="Arial"/>
          <w:b/>
          <w:szCs w:val="20"/>
        </w:rPr>
      </w:pPr>
      <w:r w:rsidRPr="00A06CF7">
        <w:rPr>
          <w:b/>
          <w:szCs w:val="20"/>
        </w:rPr>
        <w:t>Sve veća uloga Europe u proizvodnji sintetičkih droga</w:t>
      </w:r>
    </w:p>
    <w:p w:rsidR="00123CB2" w:rsidRDefault="00636199" w:rsidP="00123CB2">
      <w:pPr>
        <w:spacing w:after="260" w:line="260" w:lineRule="exact"/>
      </w:pPr>
      <w:r w:rsidRPr="00A06CF7">
        <w:t xml:space="preserve">Prema izvješću, čini se da proizvodnja sintetičkih droga u Europi „raste i postaje sve raznovrsnija te inovativnija“. Koriste se nove tvari kako bi se dobile kemikalije potrebne za proizvodnju sintetičkih droga. </w:t>
      </w:r>
      <w:r w:rsidR="00123CB2">
        <w:br/>
      </w:r>
      <w:r w:rsidRPr="00A06CF7">
        <w:t>Cilj je izbjeći otkrivanje droge, ali to uključuje i složenije postupke obrade (koji mogu značiti dodatni opasni otpad). To se odražava u porastu zapljena zamjenskih prekursora, za MDMA, amfetamin i metamfetamin, a prema najnovijim podatcima povećava se broj zapljena i APAA-a te glicidnih derivata PMK-a (tablica 1.2).</w:t>
      </w:r>
    </w:p>
    <w:p w:rsidR="00123CB2" w:rsidRDefault="00636199" w:rsidP="00123CB2">
      <w:pPr>
        <w:spacing w:after="260" w:line="260" w:lineRule="exact"/>
      </w:pPr>
      <w:r w:rsidRPr="00A06CF7">
        <w:t xml:space="preserve">U 2017. godini u EU-u je onemogućen 21 laboratorij za proizvodnju MDMA-a, što je porast u odnosu na 11 u 2016., a svi su se nalazili u </w:t>
      </w:r>
      <w:r w:rsidRPr="00A06CF7">
        <w:rPr>
          <w:b/>
          <w:szCs w:val="20"/>
        </w:rPr>
        <w:t>Nizozemskoj</w:t>
      </w:r>
      <w:r w:rsidRPr="00A06CF7">
        <w:t xml:space="preserve">. Odlaganje kemijskog otpada koje ukazuje na proizvodnju MDMA-a zabilježeno je u </w:t>
      </w:r>
      <w:r w:rsidRPr="00A06CF7">
        <w:rPr>
          <w:b/>
          <w:szCs w:val="20"/>
        </w:rPr>
        <w:t>Belgiji</w:t>
      </w:r>
      <w:r w:rsidRPr="00A06CF7">
        <w:t xml:space="preserve">. Prema najnovijim podatcima, sadržaj MDMA-a u tabletama „ecstasy“ dosegao je </w:t>
      </w:r>
      <w:r w:rsidR="00123CB2">
        <w:br/>
      </w:r>
      <w:r w:rsidRPr="00A06CF7">
        <w:t xml:space="preserve">10-godišnji maksimum u 2017. </w:t>
      </w:r>
      <w:r w:rsidRPr="00A06CF7">
        <w:rPr>
          <w:b/>
          <w:szCs w:val="20"/>
        </w:rPr>
        <w:t>EMCDDA</w:t>
      </w:r>
      <w:r w:rsidRPr="00A06CF7">
        <w:t xml:space="preserve"> izvještava da je u EU-u, prema procjeni, 2017. godine zaplijenjeno 6,6 milijuna tableta MDMA-a, što je najveći broj zapljena od 2007. Praćenje informacija iz otvorenih izvora i aktivnosti kriptotržišta pokazuje da Europa ima važnu ulogu u globalnoj ponudi MDMA-a. Na to ukazuju i zapljene u susjednim zemljama EU-a. U </w:t>
      </w:r>
      <w:r w:rsidRPr="00A06CF7">
        <w:rPr>
          <w:b/>
          <w:szCs w:val="20"/>
        </w:rPr>
        <w:t>Turskoj</w:t>
      </w:r>
      <w:r w:rsidRPr="00A06CF7">
        <w:t xml:space="preserve"> je zaplijenjeno više tableta MDMA-a (8,6 milijuna) i veća </w:t>
      </w:r>
      <w:r w:rsidRPr="00A06CF7">
        <w:lastRenderedPageBreak/>
        <w:t xml:space="preserve">količina amfetamina (6,6 tona) nego u svim državama članicama EU-a zajedno te godine. Nadalje, zaplijenjena je iznimno velika količina (658 kg) metamfetamina, što je blizu ukupnoj količini zaplijenjenoj u </w:t>
      </w:r>
      <w:r w:rsidR="00123CB2">
        <w:br/>
      </w:r>
      <w:r w:rsidRPr="00A06CF7">
        <w:t>EU-u (662 kg).</w:t>
      </w:r>
    </w:p>
    <w:p w:rsidR="003F0B5B" w:rsidRPr="00A06CF7" w:rsidRDefault="00636199" w:rsidP="00123CB2">
      <w:pPr>
        <w:spacing w:after="260" w:line="260" w:lineRule="exact"/>
        <w:rPr>
          <w:rFonts w:cs="Arial"/>
        </w:rPr>
      </w:pPr>
      <w:r w:rsidRPr="00A06CF7">
        <w:t xml:space="preserve">Čistoća metamfetamina i amfetamina veća je od one prije jednog desetljeća, a u 2017. u EU-u je zaplijenjeno 0,7 tona metamfetamina i 6,4 tona amfetamina. Proizvodnja metamfetamina najviše se odvija u </w:t>
      </w:r>
      <w:r w:rsidRPr="00A06CF7">
        <w:rPr>
          <w:b/>
          <w:szCs w:val="20"/>
        </w:rPr>
        <w:t>Češkoj</w:t>
      </w:r>
      <w:r w:rsidRPr="00A06CF7">
        <w:t xml:space="preserve"> i pograničnim područjima susjednih zemalja, a proizvodnja se donekle odvija i u </w:t>
      </w:r>
      <w:r w:rsidRPr="00A06CF7">
        <w:rPr>
          <w:b/>
          <w:szCs w:val="20"/>
        </w:rPr>
        <w:t>Nizozemskoj</w:t>
      </w:r>
      <w:r w:rsidRPr="00A06CF7">
        <w:t xml:space="preserve">. </w:t>
      </w:r>
      <w:r w:rsidR="00123CB2">
        <w:br/>
      </w:r>
      <w:r w:rsidRPr="00A06CF7">
        <w:t xml:space="preserve">Analize otpadnih voda i drugi podatci upućuju na to da se uporaba metamfetamina, koja je uglavnom bila niske razine i u prošlosti prevladavala u </w:t>
      </w:r>
      <w:r w:rsidRPr="00A06CF7">
        <w:rPr>
          <w:b/>
          <w:szCs w:val="20"/>
        </w:rPr>
        <w:t>Češkoj</w:t>
      </w:r>
      <w:r w:rsidRPr="00A06CF7">
        <w:t xml:space="preserve"> i </w:t>
      </w:r>
      <w:r w:rsidRPr="00A06CF7">
        <w:rPr>
          <w:b/>
          <w:szCs w:val="20"/>
        </w:rPr>
        <w:t>Slovačkoj</w:t>
      </w:r>
      <w:r w:rsidRPr="00A06CF7">
        <w:t xml:space="preserve">, izgleda pojavila i na </w:t>
      </w:r>
      <w:r w:rsidRPr="00A06CF7">
        <w:rPr>
          <w:b/>
          <w:szCs w:val="20"/>
        </w:rPr>
        <w:t>Cipru, u istočnoj Njemačkoj, Španjolskoj, Finskoj</w:t>
      </w:r>
      <w:r w:rsidRPr="00A06CF7">
        <w:t xml:space="preserve"> i </w:t>
      </w:r>
      <w:r w:rsidRPr="00A06CF7">
        <w:rPr>
          <w:b/>
          <w:szCs w:val="20"/>
        </w:rPr>
        <w:t>Norveškoj</w:t>
      </w:r>
      <w:r w:rsidRPr="00A06CF7">
        <w:t xml:space="preserve"> (slika 2.11.). U pogledu amfetamina, analizom otpadnih voda utvrđen je porast detektiranog amfetamina u 21 od 38 gradova u 2017. i 2018. (slika 2.10).</w:t>
      </w:r>
    </w:p>
    <w:p w:rsidR="00614E59" w:rsidRPr="00A06CF7" w:rsidRDefault="000032C0" w:rsidP="00614E59">
      <w:pPr>
        <w:pStyle w:val="EDR-Heading2"/>
        <w:rPr>
          <w:rFonts w:ascii="Arial" w:hAnsi="Arial" w:cs="Arial"/>
          <w:b/>
          <w:i w:val="0"/>
          <w:sz w:val="20"/>
          <w:szCs w:val="20"/>
        </w:rPr>
      </w:pPr>
      <w:r w:rsidRPr="00A06CF7">
        <w:rPr>
          <w:rFonts w:ascii="Arial" w:hAnsi="Arial"/>
          <w:b/>
          <w:i w:val="0"/>
          <w:sz w:val="20"/>
          <w:szCs w:val="20"/>
        </w:rPr>
        <w:t>M-zdravstvo: geolokacija i virtualna stvarnost, novi alati kao odgovor na probleme povezane s drogama</w:t>
      </w:r>
      <w:bookmarkEnd w:id="1"/>
    </w:p>
    <w:p w:rsidR="00123CB2" w:rsidRDefault="00834C21" w:rsidP="00834C21">
      <w:pPr>
        <w:spacing w:after="260" w:line="260" w:lineRule="exact"/>
      </w:pPr>
      <w:r w:rsidRPr="00A06CF7">
        <w:t>Današnja raširena uporaba mobilnih uređaja znači da aplikacije m-zdravstva (mobilnih aplikacija koje se odnose na zdravlje) predstavljaju ogroman potencijal za širenje dosega zdravstvenih usluga povezanih s drogom. Prema izvješću, nova digitalna rješenja te vrste sve se češće upotrebljavaju u prevenciji uporabe droga, tretmanima ovisnosti i smanjenju štetnih posljedica.</w:t>
      </w:r>
    </w:p>
    <w:p w:rsidR="0019413F" w:rsidRPr="00A06CF7" w:rsidRDefault="00834C21" w:rsidP="00834C21">
      <w:pPr>
        <w:spacing w:after="260" w:line="260" w:lineRule="exact"/>
        <w:rPr>
          <w:rFonts w:cs="Arial"/>
          <w:szCs w:val="20"/>
        </w:rPr>
      </w:pPr>
      <w:r w:rsidRPr="00A06CF7">
        <w:t xml:space="preserve">U izvješću je predstavljen niz aplikacija m-zdravstva različitih primarnih ciljeva, od širenja informacija (npr. </w:t>
      </w:r>
      <w:r w:rsidR="008F7F3C">
        <w:br/>
      </w:r>
      <w:r w:rsidRPr="00A06CF7">
        <w:t xml:space="preserve">o pristupu uslugama) do intervencija u smislu pružanja potpore (npr. dnevnici uporabe droge) i oporavka </w:t>
      </w:r>
      <w:r w:rsidR="008F7F3C">
        <w:br/>
      </w:r>
      <w:r w:rsidRPr="00A06CF7">
        <w:t xml:space="preserve">(npr. aplikacije za samopomoć) (slika 3.2). Inovativni je primjer uporaba geolokacijskih usluga kako bi se intravenskim konzumentima droga pomoglo da pronađu lokacije za podjelu novih igala i šprica. Analizira </w:t>
      </w:r>
      <w:r w:rsidR="008F7F3C">
        <w:br/>
      </w:r>
      <w:r w:rsidRPr="00A06CF7">
        <w:t xml:space="preserve">se također uporaba tehnologije virtualne stvarnosti (kacige), kako bi se oživljavanjem dojma okruženja povezanog s drogom koje potiče želju za drogom pomoglo bolesnicima da razviju otpornost. Veliki broj aplikacija m-zdravstva razvijenih u Europi, kojima je cilj širenje informacija za smanjenje štetnih posljedica, namijenjen je mladima, naročito sudionicima noćnih zabava. Iako su danas dostupne mnoge aplikacije </w:t>
      </w:r>
      <w:r w:rsidR="008F7F3C">
        <w:br/>
      </w:r>
      <w:r w:rsidRPr="00A06CF7">
        <w:t xml:space="preserve">m-zdravstva, nedavnim istraživanjem </w:t>
      </w:r>
      <w:r w:rsidRPr="00A06CF7">
        <w:rPr>
          <w:b/>
          <w:szCs w:val="20"/>
        </w:rPr>
        <w:t>EMCDDA-a</w:t>
      </w:r>
      <w:r w:rsidRPr="00A06CF7">
        <w:t xml:space="preserve"> ustanovilo se da one nisu uvijek popraćene pouzdanim standardima kvalitete, pravilima zaštite podataka i procjenom (</w:t>
      </w:r>
      <w:r w:rsidRPr="00A06CF7">
        <w:rPr>
          <w:szCs w:val="20"/>
          <w:vertAlign w:val="superscript"/>
        </w:rPr>
        <w:t>6</w:t>
      </w:r>
      <w:r w:rsidRPr="00A06CF7">
        <w:t>).</w:t>
      </w:r>
    </w:p>
    <w:p w:rsidR="00BE20D1" w:rsidRPr="00A06CF7" w:rsidRDefault="00BE20D1" w:rsidP="0019413F">
      <w:pPr>
        <w:spacing w:after="0" w:line="260" w:lineRule="exact"/>
        <w:rPr>
          <w:rFonts w:cs="Arial"/>
          <w:szCs w:val="20"/>
        </w:rPr>
      </w:pPr>
      <w:r w:rsidRPr="00A06CF7">
        <w:rPr>
          <w:szCs w:val="20"/>
        </w:rPr>
        <w:t>---</w:t>
      </w:r>
    </w:p>
    <w:p w:rsidR="0003354D" w:rsidRPr="00A06CF7" w:rsidRDefault="0003354D" w:rsidP="004F48CE">
      <w:pPr>
        <w:spacing w:after="260" w:line="260" w:lineRule="exact"/>
        <w:rPr>
          <w:rFonts w:cs="Arial"/>
          <w:color w:val="000000"/>
          <w:szCs w:val="20"/>
        </w:rPr>
      </w:pPr>
      <w:r w:rsidRPr="00A06CF7">
        <w:rPr>
          <w:b/>
          <w:bCs/>
          <w:color w:val="000000"/>
          <w:szCs w:val="20"/>
        </w:rPr>
        <w:t>Predsjednica Upravnog odbora EMCDDA-a, Laura d’Arrigo,</w:t>
      </w:r>
      <w:r w:rsidRPr="00A06CF7">
        <w:rPr>
          <w:color w:val="000000"/>
          <w:szCs w:val="20"/>
        </w:rPr>
        <w:t xml:space="preserve"> zaključuje: „Europsko izvješće o drogama za 2019. dolazi u kritičnom trenutku za promišljanje o dostignućima politike o drogama jer će se sljedeće godine provesti konačna procjena strategije EU-a za borbu protiv droga (2013. – 2020). U Europi je tijekom tog razdoblja došlo do dramatičnih promjena stanja u području droga, uključujući pojavu većeg broja nekontroliranih tvari. Razumijevanje trenutačnih problema u području droga omogućava nam da se pripremimo za buduće izazove u tom kompleksnom području koje se mijenja velikom brzinom. Zbog toga je uloga EMCDDA-a, koja omogućava analize utemeljene na dokazima u pogledu današnjeg stanja u području droga u Europi, tako ključna.”</w:t>
      </w:r>
    </w:p>
    <w:p w:rsidR="00010117" w:rsidRPr="00A06CF7" w:rsidRDefault="00614E59" w:rsidP="00F104F0">
      <w:pPr>
        <w:spacing w:after="0" w:line="240" w:lineRule="auto"/>
        <w:rPr>
          <w:rFonts w:cs="Arial"/>
          <w:b/>
          <w:sz w:val="18"/>
          <w:szCs w:val="18"/>
        </w:rPr>
      </w:pPr>
      <w:r w:rsidRPr="00A06CF7">
        <w:rPr>
          <w:b/>
          <w:sz w:val="18"/>
          <w:szCs w:val="18"/>
        </w:rPr>
        <w:t>Napomene</w:t>
      </w:r>
    </w:p>
    <w:p w:rsidR="00614E59" w:rsidRPr="00A06CF7" w:rsidRDefault="00614E59" w:rsidP="00F104F0">
      <w:pPr>
        <w:spacing w:after="0" w:line="240" w:lineRule="auto"/>
        <w:rPr>
          <w:rFonts w:cs="Arial"/>
          <w:b/>
          <w:sz w:val="18"/>
          <w:szCs w:val="18"/>
          <w:highlight w:val="yellow"/>
        </w:rPr>
      </w:pPr>
    </w:p>
    <w:p w:rsidR="007F0E33" w:rsidRPr="00A06CF7" w:rsidRDefault="00614E59" w:rsidP="00FE56AC">
      <w:pPr>
        <w:pStyle w:val="newsNotes"/>
      </w:pPr>
      <w:r w:rsidRPr="00A06CF7">
        <w:t>(</w:t>
      </w:r>
      <w:r w:rsidRPr="00A06CF7">
        <w:rPr>
          <w:vertAlign w:val="superscript"/>
        </w:rPr>
        <w:t>1</w:t>
      </w:r>
      <w:r w:rsidRPr="00A06CF7">
        <w:t xml:space="preserve">) Paket Europskog izvješća o drogama za 2019. dostupan je na </w:t>
      </w:r>
      <w:hyperlink r:id="rId11" w:history="1">
        <w:r w:rsidRPr="00A06CF7">
          <w:rPr>
            <w:rStyle w:val="Hiperveza"/>
          </w:rPr>
          <w:t>www.emcdda.europa.eu/edr2019</w:t>
        </w:r>
      </w:hyperlink>
      <w:hyperlink r:id="rId12" w:history="1">
        <w:r w:rsidRPr="00A06CF7">
          <w:t>.</w:t>
        </w:r>
      </w:hyperlink>
      <w:hyperlink r:id="rId13" w:history="1">
        <w:r w:rsidRPr="00A06CF7">
          <w:t>Referentno</w:t>
        </w:r>
      </w:hyperlink>
      <w:r w:rsidRPr="00A06CF7">
        <w:t xml:space="preserve"> razdoblje za sve grafikone, analize i podatke uključene u ovo izvješće odražava stanje u području droga do kraja 2018. Brojke i grafički prikazi navedeni u ovom priopćenju pojavljuju se i u izvješću. Dodatne brojke i tablice nalaze se u Statističkom biltenu 2019. (</w:t>
      </w:r>
      <w:hyperlink r:id="rId14" w:history="1">
        <w:r w:rsidRPr="00A06CF7">
          <w:rPr>
            <w:rStyle w:val="Hiperveza"/>
          </w:rPr>
          <w:t>www.emcdda.europa.eu/stats/2019</w:t>
        </w:r>
      </w:hyperlink>
      <w:r w:rsidRPr="00A06CF7">
        <w:t>).</w:t>
      </w:r>
    </w:p>
    <w:p w:rsidR="00915AF4" w:rsidRPr="00A06CF7" w:rsidRDefault="00F104F0" w:rsidP="009903EA">
      <w:pPr>
        <w:pStyle w:val="newsNotes"/>
      </w:pPr>
      <w:r w:rsidRPr="00A06CF7">
        <w:t>(</w:t>
      </w:r>
      <w:r w:rsidRPr="00A06CF7">
        <w:rPr>
          <w:vertAlign w:val="superscript"/>
        </w:rPr>
        <w:t>2</w:t>
      </w:r>
      <w:r w:rsidRPr="00A06CF7">
        <w:t>) Uberizacija: čin ili proces kojim se tržište usluga mijenja uvođenjem drugačijeg načina kupnje ili uporabe, posebice pomoću mobilne tehnologije (prema rječniku Collins English Dictionary).</w:t>
      </w:r>
    </w:p>
    <w:p w:rsidR="00F60D54" w:rsidRPr="00A06CF7" w:rsidRDefault="00F60D54" w:rsidP="009C1344">
      <w:pPr>
        <w:pStyle w:val="newsNotes"/>
      </w:pPr>
      <w:r w:rsidRPr="00A06CF7">
        <w:t>(</w:t>
      </w:r>
      <w:r w:rsidRPr="00A06CF7">
        <w:rPr>
          <w:vertAlign w:val="superscript"/>
        </w:rPr>
        <w:t>3</w:t>
      </w:r>
      <w:r w:rsidRPr="00A06CF7">
        <w:t xml:space="preserve">) </w:t>
      </w:r>
      <w:hyperlink r:id="rId15" w:history="1">
        <w:r w:rsidRPr="00A06CF7">
          <w:rPr>
            <w:rStyle w:val="Hiperveza"/>
          </w:rPr>
          <w:t>https://onlinelibrary.wiley.com/doi/10.1111/add.14525</w:t>
        </w:r>
      </w:hyperlink>
    </w:p>
    <w:p w:rsidR="00FA4D7B" w:rsidRPr="00A06CF7" w:rsidRDefault="00B64CC4" w:rsidP="009C1344">
      <w:pPr>
        <w:pStyle w:val="newsNotes"/>
      </w:pPr>
      <w:r w:rsidRPr="00A06CF7">
        <w:t>(</w:t>
      </w:r>
      <w:r w:rsidRPr="00A06CF7">
        <w:rPr>
          <w:vertAlign w:val="superscript"/>
        </w:rPr>
        <w:t>4</w:t>
      </w:r>
      <w:r w:rsidRPr="00A06CF7">
        <w:t>) Tetrahidrokanabinol (THC) uvelike je odgovoran za opojne učinke kanabisa.</w:t>
      </w:r>
    </w:p>
    <w:p w:rsidR="00B64CC4" w:rsidRPr="00A06CF7" w:rsidRDefault="00B64CC4" w:rsidP="009C1344">
      <w:pPr>
        <w:pStyle w:val="newsNotes"/>
      </w:pPr>
      <w:r w:rsidRPr="00A06CF7">
        <w:t>(</w:t>
      </w:r>
      <w:r w:rsidRPr="00A06CF7">
        <w:rPr>
          <w:vertAlign w:val="superscript"/>
        </w:rPr>
        <w:t>5</w:t>
      </w:r>
      <w:r w:rsidRPr="00A06CF7">
        <w:t xml:space="preserve">) </w:t>
      </w:r>
      <w:hyperlink r:id="rId16" w:history="1">
        <w:r w:rsidRPr="00A06CF7">
          <w:rPr>
            <w:rStyle w:val="Hiperveza"/>
          </w:rPr>
          <w:t>www.emcdda.europa.eu/news/2018/low-thc-cannabis-products-being-sold-in-the-EU%E2%80%93key-legal-issues_en</w:t>
        </w:r>
      </w:hyperlink>
    </w:p>
    <w:p w:rsidR="00444E57" w:rsidRPr="00A06CF7" w:rsidRDefault="0069327A" w:rsidP="009C1344">
      <w:pPr>
        <w:pStyle w:val="newsNotes"/>
      </w:pPr>
      <w:r w:rsidRPr="00A06CF7">
        <w:t>(</w:t>
      </w:r>
      <w:r w:rsidRPr="00A06CF7">
        <w:rPr>
          <w:vertAlign w:val="superscript"/>
        </w:rPr>
        <w:t>6</w:t>
      </w:r>
      <w:r w:rsidRPr="00A06CF7">
        <w:t xml:space="preserve">) </w:t>
      </w:r>
      <w:hyperlink r:id="rId17" w:history="1">
        <w:r w:rsidRPr="00A06CF7">
          <w:rPr>
            <w:rStyle w:val="Hiperveza"/>
          </w:rPr>
          <w:t>www.emcdda.europa.eu/publications/emcdda-papers/m-health-applications-for-responding-to-drug-use_en</w:t>
        </w:r>
      </w:hyperlink>
    </w:p>
    <w:sectPr w:rsidR="00444E57" w:rsidRPr="00A06CF7" w:rsidSect="009805D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1276" w:right="849" w:bottom="851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82" w:rsidRPr="00A06CF7" w:rsidRDefault="00312282" w:rsidP="009A28FB">
      <w:pPr>
        <w:spacing w:after="0" w:line="240" w:lineRule="auto"/>
      </w:pPr>
      <w:r w:rsidRPr="00A06CF7">
        <w:separator/>
      </w:r>
    </w:p>
  </w:endnote>
  <w:endnote w:type="continuationSeparator" w:id="0">
    <w:p w:rsidR="00312282" w:rsidRPr="00A06CF7" w:rsidRDefault="00312282" w:rsidP="009A28FB">
      <w:pPr>
        <w:spacing w:after="0" w:line="240" w:lineRule="auto"/>
      </w:pPr>
      <w:r w:rsidRPr="00A06CF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Trivia Sans Book">
    <w:altName w:val="Trivia Sans Book"/>
    <w:panose1 w:val="00000000000000000000"/>
    <w:charset w:val="00"/>
    <w:family w:val="modern"/>
    <w:notTrueType/>
    <w:pitch w:val="variable"/>
    <w:sig w:usb0="00000003" w:usb1="1000207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5C70E0" w:rsidRPr="00A06CF7" w:rsidTr="002F4635">
      <w:tc>
        <w:tcPr>
          <w:tcW w:w="1444" w:type="dxa"/>
        </w:tcPr>
        <w:p w:rsidR="005C70E0" w:rsidRPr="00A06CF7" w:rsidRDefault="001C0971" w:rsidP="00D37865">
          <w:pPr>
            <w:pStyle w:val="newsCoordinates"/>
          </w:pPr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299" distR="114299" simplePos="0" relativeHeight="251663360" behindDoc="1" locked="0" layoutInCell="1" allowOverlap="1">
                    <wp:simplePos x="0" y="0"/>
                    <wp:positionH relativeFrom="page">
                      <wp:posOffset>35559</wp:posOffset>
                    </wp:positionH>
                    <wp:positionV relativeFrom="page">
                      <wp:posOffset>15240</wp:posOffset>
                    </wp:positionV>
                    <wp:extent cx="0" cy="107950"/>
                    <wp:effectExtent l="0" t="0" r="19050" b="25400"/>
                    <wp:wrapNone/>
                    <wp:docPr id="14" name="Straight Connector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H="1">
                              <a:off x="0" y="0"/>
                              <a:ext cx="0" cy="1079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" strokecolor="#009" strokeweight="1.5pt">
                    <o:lock v:ext="edit" shapetype="f"/>
                    <w10:wrap anchorx="page" anchory="page"/>
                  </v:line>
                </w:pict>
              </mc:Fallback>
            </mc:AlternateContent>
          </w:r>
          <w:r w:rsidR="005C70E0" w:rsidRPr="00A06CF7">
            <w:rPr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5C70E0" w:rsidRPr="00A06CF7" w:rsidRDefault="00473DC9" w:rsidP="00BF1E3B">
          <w:pPr>
            <w:pStyle w:val="newsReference"/>
            <w:jc w:val="right"/>
          </w:pPr>
          <w:r w:rsidRPr="00A06CF7">
            <w:fldChar w:fldCharType="begin"/>
          </w:r>
          <w:r w:rsidR="005C70E0" w:rsidRPr="00A06CF7">
            <w:instrText xml:space="preserve"> PAGE   \* MERGEFORMAT </w:instrText>
          </w:r>
          <w:r w:rsidRPr="00A06CF7">
            <w:fldChar w:fldCharType="separate"/>
          </w:r>
          <w:r w:rsidR="001C0971">
            <w:rPr>
              <w:noProof/>
            </w:rPr>
            <w:t>2</w:t>
          </w:r>
          <w:r w:rsidRPr="00A06CF7">
            <w:fldChar w:fldCharType="end"/>
          </w:r>
        </w:p>
      </w:tc>
    </w:tr>
  </w:tbl>
  <w:p w:rsidR="005C70E0" w:rsidRPr="00A06CF7" w:rsidRDefault="005C70E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A06CF7" w:rsidRPr="00A06CF7" w:rsidTr="00A06CF7">
      <w:tc>
        <w:tcPr>
          <w:tcW w:w="7196" w:type="dxa"/>
        </w:tcPr>
        <w:p w:rsidR="00A06CF7" w:rsidRDefault="00A06CF7" w:rsidP="00A06CF7">
          <w:pPr>
            <w:pStyle w:val="newsCoordinates"/>
          </w:pPr>
          <w:r w:rsidRPr="00351881">
            <w:t>Kontakt: Kathy Robertson, Odnosi s medijima</w:t>
          </w:r>
          <w:r w:rsidR="001C0971">
            <w:rPr>
              <w:noProof/>
              <w:lang w:eastAsia="hr-HR"/>
            </w:rPr>
            <mc:AlternateContent>
              <mc:Choice Requires="wps">
                <w:drawing>
                  <wp:anchor distT="0" distB="0" distL="114299" distR="114299" simplePos="0" relativeHeight="251672576" behindDoc="1" locked="0" layoutInCell="1" allowOverlap="1">
                    <wp:simplePos x="0" y="0"/>
                    <wp:positionH relativeFrom="page">
                      <wp:posOffset>32384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" o:spid="_x0000_s1026" style="position:absolute;z-index:-2516439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" strokecolor="#009" strokeweight="1.5pt">
                    <o:lock v:ext="edit" shapetype="f"/>
                    <w10:wrap anchorx="page" anchory="page"/>
                  </v:line>
                </w:pict>
              </mc:Fallback>
            </mc:AlternateContent>
          </w:r>
          <w:r>
            <w:t xml:space="preserve"> </w:t>
          </w:r>
        </w:p>
        <w:p w:rsidR="00A06CF7" w:rsidRDefault="00A06CF7" w:rsidP="00A06CF7">
          <w:pPr>
            <w:pStyle w:val="newsCoordinates"/>
          </w:pPr>
          <w:r w:rsidRPr="00351881">
            <w:t>Praça Europa 1, Cais do Sodré, 1249-289 Lisabon, Portugal</w:t>
          </w:r>
        </w:p>
        <w:p w:rsidR="00A06CF7" w:rsidRDefault="00A06CF7" w:rsidP="00A06CF7">
          <w:pPr>
            <w:pStyle w:val="newsCoordinates"/>
          </w:pPr>
          <w:r w:rsidRPr="00351881">
            <w:t>Tel. (351) 211 21 02</w:t>
          </w:r>
          <w:r w:rsidRPr="00944227">
            <w:t xml:space="preserve"> 00</w:t>
          </w:r>
          <w:r>
            <w:t xml:space="preserve"> </w:t>
          </w:r>
          <w:r w:rsidRPr="00FC0187">
            <w:rPr>
              <w:sz w:val="18"/>
            </w:rPr>
            <w:t xml:space="preserve">I </w:t>
          </w:r>
          <w:r>
            <w:t xml:space="preserve">press@emcdda.europa.eu </w:t>
          </w:r>
          <w:r w:rsidRPr="00FC0187">
            <w:rPr>
              <w:sz w:val="18"/>
            </w:rPr>
            <w:t>I</w:t>
          </w:r>
          <w:r>
            <w:t xml:space="preserve"> emcdda.europa.eu</w:t>
          </w:r>
        </w:p>
      </w:tc>
      <w:tc>
        <w:tcPr>
          <w:tcW w:w="3294" w:type="dxa"/>
          <w:vAlign w:val="bottom"/>
        </w:tcPr>
        <w:p w:rsidR="00A06CF7" w:rsidRPr="00A06CF7" w:rsidRDefault="00A06CF7" w:rsidP="007B45EB">
          <w:pPr>
            <w:pStyle w:val="newsReference"/>
            <w:jc w:val="right"/>
          </w:pPr>
          <w:r w:rsidRPr="007B45EB">
            <w:t xml:space="preserve">HR — No </w:t>
          </w:r>
          <w:r w:rsidR="007B45EB" w:rsidRPr="007B45EB">
            <w:t>4</w:t>
          </w:r>
          <w:r w:rsidRPr="007B45EB">
            <w:t>/2019</w:t>
          </w:r>
        </w:p>
      </w:tc>
    </w:tr>
  </w:tbl>
  <w:p w:rsidR="005C70E0" w:rsidRPr="00A06CF7" w:rsidRDefault="005C70E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82" w:rsidRPr="00A06CF7" w:rsidRDefault="00312282" w:rsidP="009A28FB">
      <w:pPr>
        <w:spacing w:after="0" w:line="240" w:lineRule="auto"/>
      </w:pPr>
      <w:r w:rsidRPr="00A06CF7">
        <w:separator/>
      </w:r>
    </w:p>
  </w:footnote>
  <w:footnote w:type="continuationSeparator" w:id="0">
    <w:p w:rsidR="00312282" w:rsidRPr="00A06CF7" w:rsidRDefault="00312282" w:rsidP="009A28FB">
      <w:pPr>
        <w:spacing w:after="0" w:line="240" w:lineRule="auto"/>
      </w:pPr>
      <w:r w:rsidRPr="00A06CF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11057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057"/>
    </w:tblGrid>
    <w:tr w:rsidR="007B45EB" w:rsidRPr="00A06CF7" w:rsidTr="004C4D6A">
      <w:tc>
        <w:tcPr>
          <w:tcW w:w="11057" w:type="dxa"/>
        </w:tcPr>
        <w:p w:rsidR="007B45EB" w:rsidRPr="00A06CF7" w:rsidRDefault="001C0971" w:rsidP="006B6D93">
          <w:pPr>
            <w:pStyle w:val="newsReference"/>
            <w:jc w:val="right"/>
          </w:pPr>
          <w:r>
            <w:rPr>
              <w:noProof/>
              <w:szCs w:val="14"/>
              <w:lang w:eastAsia="hr-HR"/>
            </w:rPr>
            <mc:AlternateContent>
              <mc:Choice Requires="wps">
                <w:drawing>
                  <wp:anchor distT="0" distB="0" distL="114299" distR="114299" simplePos="0" relativeHeight="251681792" behindDoc="1" locked="0" layoutInCell="1" allowOverlap="1">
                    <wp:simplePos x="0" y="0"/>
                    <wp:positionH relativeFrom="page">
                      <wp:posOffset>35559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3" name="Straight Connector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3" o:spid="_x0000_s1026" style="position:absolute;z-index:-2516346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" strokecolor="#009" strokeweight="1.5pt">
                    <o:lock v:ext="edit" shapetype="f"/>
                    <w10:wrap anchorx="page" anchory="page"/>
                  </v:line>
                </w:pict>
              </mc:Fallback>
            </mc:AlternateContent>
          </w:r>
          <w:r w:rsidR="007B45EB" w:rsidRPr="007B45EB">
            <w:rPr>
              <w:noProof/>
              <w:szCs w:val="14"/>
              <w:lang w:eastAsia="en-GB"/>
            </w:rPr>
            <w:t xml:space="preserve"> Europsko izvješće o drogama 2019. </w:t>
          </w:r>
          <w:r w:rsidR="007B45EB" w:rsidRPr="007B45EB">
            <w:rPr>
              <w:szCs w:val="14"/>
            </w:rPr>
            <w:t>6.6.2019</w:t>
          </w:r>
        </w:p>
      </w:tc>
    </w:tr>
  </w:tbl>
  <w:p w:rsidR="005C70E0" w:rsidRPr="00A06CF7" w:rsidRDefault="005C70E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3129C"/>
    <w:multiLevelType w:val="hybridMultilevel"/>
    <w:tmpl w:val="202EF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9E"/>
    <w:rsid w:val="000032C0"/>
    <w:rsid w:val="00010117"/>
    <w:rsid w:val="000121D2"/>
    <w:rsid w:val="00014E8E"/>
    <w:rsid w:val="00017257"/>
    <w:rsid w:val="00021599"/>
    <w:rsid w:val="0002231D"/>
    <w:rsid w:val="00022F41"/>
    <w:rsid w:val="000230AD"/>
    <w:rsid w:val="00024D00"/>
    <w:rsid w:val="000259D5"/>
    <w:rsid w:val="00030A97"/>
    <w:rsid w:val="0003352E"/>
    <w:rsid w:val="0003354D"/>
    <w:rsid w:val="00036DAA"/>
    <w:rsid w:val="00043393"/>
    <w:rsid w:val="0004758B"/>
    <w:rsid w:val="00051D97"/>
    <w:rsid w:val="000535B7"/>
    <w:rsid w:val="00067DD3"/>
    <w:rsid w:val="00070119"/>
    <w:rsid w:val="00071435"/>
    <w:rsid w:val="000768EA"/>
    <w:rsid w:val="0009643E"/>
    <w:rsid w:val="0009682B"/>
    <w:rsid w:val="00096DC9"/>
    <w:rsid w:val="00097846"/>
    <w:rsid w:val="000A5A2F"/>
    <w:rsid w:val="000B15EF"/>
    <w:rsid w:val="000B4A89"/>
    <w:rsid w:val="000C07B5"/>
    <w:rsid w:val="000C0E3B"/>
    <w:rsid w:val="000C6200"/>
    <w:rsid w:val="000F10B7"/>
    <w:rsid w:val="000F1A0D"/>
    <w:rsid w:val="000F533D"/>
    <w:rsid w:val="000F79AD"/>
    <w:rsid w:val="00105BFC"/>
    <w:rsid w:val="00107C96"/>
    <w:rsid w:val="00112272"/>
    <w:rsid w:val="00113EB9"/>
    <w:rsid w:val="00121FD3"/>
    <w:rsid w:val="00122002"/>
    <w:rsid w:val="00123CB2"/>
    <w:rsid w:val="00125BB1"/>
    <w:rsid w:val="00131E39"/>
    <w:rsid w:val="00132EF5"/>
    <w:rsid w:val="00135E63"/>
    <w:rsid w:val="00140659"/>
    <w:rsid w:val="0014212B"/>
    <w:rsid w:val="001456D7"/>
    <w:rsid w:val="001530AB"/>
    <w:rsid w:val="0016546B"/>
    <w:rsid w:val="00173446"/>
    <w:rsid w:val="00176130"/>
    <w:rsid w:val="001764C9"/>
    <w:rsid w:val="00176897"/>
    <w:rsid w:val="0017713E"/>
    <w:rsid w:val="001800D0"/>
    <w:rsid w:val="00184A4A"/>
    <w:rsid w:val="001853D8"/>
    <w:rsid w:val="00190301"/>
    <w:rsid w:val="0019413F"/>
    <w:rsid w:val="001A3338"/>
    <w:rsid w:val="001A37A5"/>
    <w:rsid w:val="001A5796"/>
    <w:rsid w:val="001A73C2"/>
    <w:rsid w:val="001A7E7D"/>
    <w:rsid w:val="001B1428"/>
    <w:rsid w:val="001C0971"/>
    <w:rsid w:val="001C218B"/>
    <w:rsid w:val="001C795A"/>
    <w:rsid w:val="001D194D"/>
    <w:rsid w:val="001D4928"/>
    <w:rsid w:val="001D5C26"/>
    <w:rsid w:val="001D7206"/>
    <w:rsid w:val="001E10CF"/>
    <w:rsid w:val="001F184E"/>
    <w:rsid w:val="001F70B4"/>
    <w:rsid w:val="00200CFE"/>
    <w:rsid w:val="00210425"/>
    <w:rsid w:val="002150C0"/>
    <w:rsid w:val="00223753"/>
    <w:rsid w:val="00223CFC"/>
    <w:rsid w:val="00223D32"/>
    <w:rsid w:val="0022424F"/>
    <w:rsid w:val="00232782"/>
    <w:rsid w:val="00234912"/>
    <w:rsid w:val="00235FEF"/>
    <w:rsid w:val="00237942"/>
    <w:rsid w:val="002557B0"/>
    <w:rsid w:val="0025682F"/>
    <w:rsid w:val="00260892"/>
    <w:rsid w:val="002646E4"/>
    <w:rsid w:val="00271650"/>
    <w:rsid w:val="00271D5E"/>
    <w:rsid w:val="0027252D"/>
    <w:rsid w:val="00272DAC"/>
    <w:rsid w:val="002735EA"/>
    <w:rsid w:val="00276ACE"/>
    <w:rsid w:val="0028141E"/>
    <w:rsid w:val="002948E2"/>
    <w:rsid w:val="0029601D"/>
    <w:rsid w:val="002975BB"/>
    <w:rsid w:val="002A517C"/>
    <w:rsid w:val="002A61F7"/>
    <w:rsid w:val="002B05CE"/>
    <w:rsid w:val="002B45AC"/>
    <w:rsid w:val="002B782C"/>
    <w:rsid w:val="002C42DF"/>
    <w:rsid w:val="002D1CE2"/>
    <w:rsid w:val="002D615D"/>
    <w:rsid w:val="002D6E74"/>
    <w:rsid w:val="002E4FF1"/>
    <w:rsid w:val="002E5920"/>
    <w:rsid w:val="002E6BCF"/>
    <w:rsid w:val="002F2919"/>
    <w:rsid w:val="002F4635"/>
    <w:rsid w:val="002F6BB8"/>
    <w:rsid w:val="00302AB9"/>
    <w:rsid w:val="0030335E"/>
    <w:rsid w:val="00312282"/>
    <w:rsid w:val="0031303D"/>
    <w:rsid w:val="00314E4D"/>
    <w:rsid w:val="00315FDC"/>
    <w:rsid w:val="0033158E"/>
    <w:rsid w:val="00333175"/>
    <w:rsid w:val="00342887"/>
    <w:rsid w:val="00343F33"/>
    <w:rsid w:val="003601E9"/>
    <w:rsid w:val="00360E30"/>
    <w:rsid w:val="0036121D"/>
    <w:rsid w:val="003637D6"/>
    <w:rsid w:val="003719D8"/>
    <w:rsid w:val="00374B6A"/>
    <w:rsid w:val="00377F12"/>
    <w:rsid w:val="00380985"/>
    <w:rsid w:val="00380B88"/>
    <w:rsid w:val="00382438"/>
    <w:rsid w:val="0038367B"/>
    <w:rsid w:val="00386153"/>
    <w:rsid w:val="00387136"/>
    <w:rsid w:val="00387D02"/>
    <w:rsid w:val="003911BD"/>
    <w:rsid w:val="00392582"/>
    <w:rsid w:val="003967B9"/>
    <w:rsid w:val="003B3314"/>
    <w:rsid w:val="003B41B1"/>
    <w:rsid w:val="003B609D"/>
    <w:rsid w:val="003B6198"/>
    <w:rsid w:val="003C0395"/>
    <w:rsid w:val="003D1DC8"/>
    <w:rsid w:val="003D499E"/>
    <w:rsid w:val="003E49E6"/>
    <w:rsid w:val="003E5C4F"/>
    <w:rsid w:val="003F0B5B"/>
    <w:rsid w:val="003F1EF2"/>
    <w:rsid w:val="00401FE1"/>
    <w:rsid w:val="0040227A"/>
    <w:rsid w:val="00404699"/>
    <w:rsid w:val="00407D12"/>
    <w:rsid w:val="00410CF1"/>
    <w:rsid w:val="0041123B"/>
    <w:rsid w:val="00411581"/>
    <w:rsid w:val="004137B0"/>
    <w:rsid w:val="0041592A"/>
    <w:rsid w:val="00421741"/>
    <w:rsid w:val="004221D3"/>
    <w:rsid w:val="00422D23"/>
    <w:rsid w:val="0042673A"/>
    <w:rsid w:val="00427F90"/>
    <w:rsid w:val="00435B20"/>
    <w:rsid w:val="0044111C"/>
    <w:rsid w:val="00444805"/>
    <w:rsid w:val="00444E57"/>
    <w:rsid w:val="00445080"/>
    <w:rsid w:val="00452282"/>
    <w:rsid w:val="004528C9"/>
    <w:rsid w:val="0045468D"/>
    <w:rsid w:val="004576BE"/>
    <w:rsid w:val="004718B7"/>
    <w:rsid w:val="0047267B"/>
    <w:rsid w:val="00473DC9"/>
    <w:rsid w:val="004847FB"/>
    <w:rsid w:val="0049030E"/>
    <w:rsid w:val="00492D1D"/>
    <w:rsid w:val="00495750"/>
    <w:rsid w:val="00495BD6"/>
    <w:rsid w:val="00496D31"/>
    <w:rsid w:val="004A2838"/>
    <w:rsid w:val="004A4A47"/>
    <w:rsid w:val="004A50C0"/>
    <w:rsid w:val="004B197E"/>
    <w:rsid w:val="004B5C5E"/>
    <w:rsid w:val="004C1991"/>
    <w:rsid w:val="004C3028"/>
    <w:rsid w:val="004C3758"/>
    <w:rsid w:val="004C4E0F"/>
    <w:rsid w:val="004C72C5"/>
    <w:rsid w:val="004D1EEC"/>
    <w:rsid w:val="004D2238"/>
    <w:rsid w:val="004D6E0C"/>
    <w:rsid w:val="004D6EF6"/>
    <w:rsid w:val="004E0A87"/>
    <w:rsid w:val="004E4BCC"/>
    <w:rsid w:val="004E5073"/>
    <w:rsid w:val="004F31E2"/>
    <w:rsid w:val="004F48CE"/>
    <w:rsid w:val="0050289D"/>
    <w:rsid w:val="00504795"/>
    <w:rsid w:val="005202E3"/>
    <w:rsid w:val="00520EF1"/>
    <w:rsid w:val="0052662A"/>
    <w:rsid w:val="00534436"/>
    <w:rsid w:val="00542CEE"/>
    <w:rsid w:val="00553490"/>
    <w:rsid w:val="00555EB1"/>
    <w:rsid w:val="005653DD"/>
    <w:rsid w:val="0058458A"/>
    <w:rsid w:val="00585138"/>
    <w:rsid w:val="00586C9B"/>
    <w:rsid w:val="00586D99"/>
    <w:rsid w:val="005872F8"/>
    <w:rsid w:val="00593AD2"/>
    <w:rsid w:val="005A0BDB"/>
    <w:rsid w:val="005A0DC8"/>
    <w:rsid w:val="005A5FBD"/>
    <w:rsid w:val="005B05A0"/>
    <w:rsid w:val="005B0652"/>
    <w:rsid w:val="005B0882"/>
    <w:rsid w:val="005B1B63"/>
    <w:rsid w:val="005B4AD5"/>
    <w:rsid w:val="005C0B7C"/>
    <w:rsid w:val="005C4033"/>
    <w:rsid w:val="005C70E0"/>
    <w:rsid w:val="005D0005"/>
    <w:rsid w:val="005E30DE"/>
    <w:rsid w:val="005F02AA"/>
    <w:rsid w:val="005F216C"/>
    <w:rsid w:val="005F4112"/>
    <w:rsid w:val="005F4208"/>
    <w:rsid w:val="00605CC5"/>
    <w:rsid w:val="0060741C"/>
    <w:rsid w:val="006116D9"/>
    <w:rsid w:val="00614E59"/>
    <w:rsid w:val="0061593B"/>
    <w:rsid w:val="00617225"/>
    <w:rsid w:val="00617F26"/>
    <w:rsid w:val="00623A55"/>
    <w:rsid w:val="00625228"/>
    <w:rsid w:val="006276D7"/>
    <w:rsid w:val="00630D0B"/>
    <w:rsid w:val="00636199"/>
    <w:rsid w:val="0063677C"/>
    <w:rsid w:val="00640A96"/>
    <w:rsid w:val="006431DF"/>
    <w:rsid w:val="00646FD6"/>
    <w:rsid w:val="00647423"/>
    <w:rsid w:val="00654158"/>
    <w:rsid w:val="00660BBB"/>
    <w:rsid w:val="00661AD8"/>
    <w:rsid w:val="00661AFC"/>
    <w:rsid w:val="00664783"/>
    <w:rsid w:val="00666A63"/>
    <w:rsid w:val="00671B31"/>
    <w:rsid w:val="00672271"/>
    <w:rsid w:val="00690EA4"/>
    <w:rsid w:val="0069327A"/>
    <w:rsid w:val="00695C11"/>
    <w:rsid w:val="00697D66"/>
    <w:rsid w:val="006A1B4E"/>
    <w:rsid w:val="006B120D"/>
    <w:rsid w:val="006B332C"/>
    <w:rsid w:val="006B35B2"/>
    <w:rsid w:val="006B4652"/>
    <w:rsid w:val="006B6D93"/>
    <w:rsid w:val="006D07C0"/>
    <w:rsid w:val="006D32C8"/>
    <w:rsid w:val="006D4E4D"/>
    <w:rsid w:val="006E607C"/>
    <w:rsid w:val="006F0FA0"/>
    <w:rsid w:val="00700BFA"/>
    <w:rsid w:val="00706FB0"/>
    <w:rsid w:val="007073EC"/>
    <w:rsid w:val="00721A95"/>
    <w:rsid w:val="007274D4"/>
    <w:rsid w:val="007277DA"/>
    <w:rsid w:val="00730132"/>
    <w:rsid w:val="0073368B"/>
    <w:rsid w:val="007346FC"/>
    <w:rsid w:val="007439AA"/>
    <w:rsid w:val="0074506D"/>
    <w:rsid w:val="00745CA7"/>
    <w:rsid w:val="00746842"/>
    <w:rsid w:val="00747DD8"/>
    <w:rsid w:val="0075116C"/>
    <w:rsid w:val="00752941"/>
    <w:rsid w:val="00755B93"/>
    <w:rsid w:val="0076037B"/>
    <w:rsid w:val="00765793"/>
    <w:rsid w:val="0076798F"/>
    <w:rsid w:val="00771473"/>
    <w:rsid w:val="007719D6"/>
    <w:rsid w:val="00773814"/>
    <w:rsid w:val="007753D9"/>
    <w:rsid w:val="00777DCB"/>
    <w:rsid w:val="007815B9"/>
    <w:rsid w:val="00786F82"/>
    <w:rsid w:val="00791F09"/>
    <w:rsid w:val="00794473"/>
    <w:rsid w:val="00796846"/>
    <w:rsid w:val="00797486"/>
    <w:rsid w:val="007A5574"/>
    <w:rsid w:val="007B0E03"/>
    <w:rsid w:val="007B1CCD"/>
    <w:rsid w:val="007B45EB"/>
    <w:rsid w:val="007B5C00"/>
    <w:rsid w:val="007B716C"/>
    <w:rsid w:val="007C0D14"/>
    <w:rsid w:val="007C4BE9"/>
    <w:rsid w:val="007D1577"/>
    <w:rsid w:val="007D38EC"/>
    <w:rsid w:val="007D565B"/>
    <w:rsid w:val="007D7466"/>
    <w:rsid w:val="007E0244"/>
    <w:rsid w:val="007E0ADC"/>
    <w:rsid w:val="007E419A"/>
    <w:rsid w:val="007E4CA0"/>
    <w:rsid w:val="007F0E33"/>
    <w:rsid w:val="00801A02"/>
    <w:rsid w:val="0081055A"/>
    <w:rsid w:val="00812100"/>
    <w:rsid w:val="0081367A"/>
    <w:rsid w:val="00813FB5"/>
    <w:rsid w:val="008223AE"/>
    <w:rsid w:val="00824E15"/>
    <w:rsid w:val="008342AC"/>
    <w:rsid w:val="00834C21"/>
    <w:rsid w:val="00836D1E"/>
    <w:rsid w:val="00841E86"/>
    <w:rsid w:val="008463BA"/>
    <w:rsid w:val="00854790"/>
    <w:rsid w:val="0086645F"/>
    <w:rsid w:val="00867769"/>
    <w:rsid w:val="00870C92"/>
    <w:rsid w:val="008734E8"/>
    <w:rsid w:val="00881730"/>
    <w:rsid w:val="00881B2A"/>
    <w:rsid w:val="00883C30"/>
    <w:rsid w:val="0088426B"/>
    <w:rsid w:val="008A1057"/>
    <w:rsid w:val="008A180F"/>
    <w:rsid w:val="008C1172"/>
    <w:rsid w:val="008D2735"/>
    <w:rsid w:val="008D4761"/>
    <w:rsid w:val="008D54B3"/>
    <w:rsid w:val="008E14ED"/>
    <w:rsid w:val="008E3895"/>
    <w:rsid w:val="008F02ED"/>
    <w:rsid w:val="008F1312"/>
    <w:rsid w:val="008F1445"/>
    <w:rsid w:val="008F177B"/>
    <w:rsid w:val="008F399E"/>
    <w:rsid w:val="008F4BAA"/>
    <w:rsid w:val="008F5D18"/>
    <w:rsid w:val="008F7F3C"/>
    <w:rsid w:val="00902300"/>
    <w:rsid w:val="00904C55"/>
    <w:rsid w:val="00906967"/>
    <w:rsid w:val="00906CD1"/>
    <w:rsid w:val="0090785E"/>
    <w:rsid w:val="00911711"/>
    <w:rsid w:val="00912CFD"/>
    <w:rsid w:val="0091589E"/>
    <w:rsid w:val="00915AF4"/>
    <w:rsid w:val="00917217"/>
    <w:rsid w:val="0092380B"/>
    <w:rsid w:val="0092599F"/>
    <w:rsid w:val="00934F06"/>
    <w:rsid w:val="00937334"/>
    <w:rsid w:val="00940850"/>
    <w:rsid w:val="00942873"/>
    <w:rsid w:val="00955F0C"/>
    <w:rsid w:val="009576A0"/>
    <w:rsid w:val="00971783"/>
    <w:rsid w:val="00974A27"/>
    <w:rsid w:val="009805DB"/>
    <w:rsid w:val="00980CD0"/>
    <w:rsid w:val="0098366C"/>
    <w:rsid w:val="009903EA"/>
    <w:rsid w:val="00994B9B"/>
    <w:rsid w:val="009A15D8"/>
    <w:rsid w:val="009A20B2"/>
    <w:rsid w:val="009A28FB"/>
    <w:rsid w:val="009B210D"/>
    <w:rsid w:val="009B5537"/>
    <w:rsid w:val="009B7B82"/>
    <w:rsid w:val="009C1344"/>
    <w:rsid w:val="009C7DC4"/>
    <w:rsid w:val="009D0197"/>
    <w:rsid w:val="009D3DBB"/>
    <w:rsid w:val="009D6255"/>
    <w:rsid w:val="009E0BE3"/>
    <w:rsid w:val="009E2F0F"/>
    <w:rsid w:val="009E601B"/>
    <w:rsid w:val="009E6BC9"/>
    <w:rsid w:val="009F4FB0"/>
    <w:rsid w:val="009F6A9C"/>
    <w:rsid w:val="00A00F6E"/>
    <w:rsid w:val="00A01D9C"/>
    <w:rsid w:val="00A06CF7"/>
    <w:rsid w:val="00A0788A"/>
    <w:rsid w:val="00A10960"/>
    <w:rsid w:val="00A11E9A"/>
    <w:rsid w:val="00A11FA9"/>
    <w:rsid w:val="00A16B77"/>
    <w:rsid w:val="00A21D3D"/>
    <w:rsid w:val="00A30288"/>
    <w:rsid w:val="00A311EF"/>
    <w:rsid w:val="00A318CD"/>
    <w:rsid w:val="00A3254D"/>
    <w:rsid w:val="00A35F73"/>
    <w:rsid w:val="00A36227"/>
    <w:rsid w:val="00A43559"/>
    <w:rsid w:val="00A44A5F"/>
    <w:rsid w:val="00A54C2C"/>
    <w:rsid w:val="00A64A46"/>
    <w:rsid w:val="00A64B2D"/>
    <w:rsid w:val="00A661E2"/>
    <w:rsid w:val="00A66AB7"/>
    <w:rsid w:val="00A71090"/>
    <w:rsid w:val="00A726EE"/>
    <w:rsid w:val="00A856B7"/>
    <w:rsid w:val="00A92FDC"/>
    <w:rsid w:val="00A97578"/>
    <w:rsid w:val="00AB0369"/>
    <w:rsid w:val="00AC4489"/>
    <w:rsid w:val="00AC44E7"/>
    <w:rsid w:val="00AC5C9D"/>
    <w:rsid w:val="00AC7CB6"/>
    <w:rsid w:val="00AD5D66"/>
    <w:rsid w:val="00AD73C3"/>
    <w:rsid w:val="00AD7BFC"/>
    <w:rsid w:val="00AE093C"/>
    <w:rsid w:val="00AE1738"/>
    <w:rsid w:val="00AE30BD"/>
    <w:rsid w:val="00AE4303"/>
    <w:rsid w:val="00AE5053"/>
    <w:rsid w:val="00AF13B3"/>
    <w:rsid w:val="00AF259D"/>
    <w:rsid w:val="00AF5376"/>
    <w:rsid w:val="00B040BD"/>
    <w:rsid w:val="00B058D8"/>
    <w:rsid w:val="00B11B73"/>
    <w:rsid w:val="00B15648"/>
    <w:rsid w:val="00B25554"/>
    <w:rsid w:val="00B272F1"/>
    <w:rsid w:val="00B35C7F"/>
    <w:rsid w:val="00B3758D"/>
    <w:rsid w:val="00B37B1B"/>
    <w:rsid w:val="00B465B2"/>
    <w:rsid w:val="00B4708C"/>
    <w:rsid w:val="00B50536"/>
    <w:rsid w:val="00B51E08"/>
    <w:rsid w:val="00B527A0"/>
    <w:rsid w:val="00B531B5"/>
    <w:rsid w:val="00B57464"/>
    <w:rsid w:val="00B61036"/>
    <w:rsid w:val="00B64CC4"/>
    <w:rsid w:val="00B72DD3"/>
    <w:rsid w:val="00B7335C"/>
    <w:rsid w:val="00B85F98"/>
    <w:rsid w:val="00B877B7"/>
    <w:rsid w:val="00B922D1"/>
    <w:rsid w:val="00B97733"/>
    <w:rsid w:val="00B97BC5"/>
    <w:rsid w:val="00BB19BD"/>
    <w:rsid w:val="00BB60CF"/>
    <w:rsid w:val="00BB7A14"/>
    <w:rsid w:val="00BC3685"/>
    <w:rsid w:val="00BD39C2"/>
    <w:rsid w:val="00BD5364"/>
    <w:rsid w:val="00BD6335"/>
    <w:rsid w:val="00BE11C1"/>
    <w:rsid w:val="00BE20D1"/>
    <w:rsid w:val="00BE2D26"/>
    <w:rsid w:val="00BE35EB"/>
    <w:rsid w:val="00BE4F90"/>
    <w:rsid w:val="00BF1E3B"/>
    <w:rsid w:val="00BF4BC0"/>
    <w:rsid w:val="00C02D58"/>
    <w:rsid w:val="00C219B6"/>
    <w:rsid w:val="00C36BC1"/>
    <w:rsid w:val="00C3792F"/>
    <w:rsid w:val="00C54D8A"/>
    <w:rsid w:val="00C6086D"/>
    <w:rsid w:val="00C6093D"/>
    <w:rsid w:val="00C60DC1"/>
    <w:rsid w:val="00C628C4"/>
    <w:rsid w:val="00C63254"/>
    <w:rsid w:val="00C64A0E"/>
    <w:rsid w:val="00C657DB"/>
    <w:rsid w:val="00C6637F"/>
    <w:rsid w:val="00C74EF6"/>
    <w:rsid w:val="00C753DB"/>
    <w:rsid w:val="00C76471"/>
    <w:rsid w:val="00C874C0"/>
    <w:rsid w:val="00C939E7"/>
    <w:rsid w:val="00CA02BC"/>
    <w:rsid w:val="00CA0D08"/>
    <w:rsid w:val="00CA27BA"/>
    <w:rsid w:val="00CA2FF5"/>
    <w:rsid w:val="00CA36F9"/>
    <w:rsid w:val="00CA6AA7"/>
    <w:rsid w:val="00CB0245"/>
    <w:rsid w:val="00CB2CDF"/>
    <w:rsid w:val="00CB49DA"/>
    <w:rsid w:val="00CB57E0"/>
    <w:rsid w:val="00CC05D1"/>
    <w:rsid w:val="00CC1F19"/>
    <w:rsid w:val="00CC1FA7"/>
    <w:rsid w:val="00CC310C"/>
    <w:rsid w:val="00CC4FDA"/>
    <w:rsid w:val="00CC5D2C"/>
    <w:rsid w:val="00CC6A8B"/>
    <w:rsid w:val="00CF08B2"/>
    <w:rsid w:val="00CF7144"/>
    <w:rsid w:val="00D01335"/>
    <w:rsid w:val="00D01606"/>
    <w:rsid w:val="00D0281F"/>
    <w:rsid w:val="00D03EC6"/>
    <w:rsid w:val="00D14738"/>
    <w:rsid w:val="00D16E75"/>
    <w:rsid w:val="00D23E54"/>
    <w:rsid w:val="00D26F2B"/>
    <w:rsid w:val="00D318EF"/>
    <w:rsid w:val="00D3312B"/>
    <w:rsid w:val="00D37865"/>
    <w:rsid w:val="00D40CFC"/>
    <w:rsid w:val="00D517DC"/>
    <w:rsid w:val="00D57367"/>
    <w:rsid w:val="00D61CD0"/>
    <w:rsid w:val="00D660E0"/>
    <w:rsid w:val="00D72280"/>
    <w:rsid w:val="00D7261B"/>
    <w:rsid w:val="00D74328"/>
    <w:rsid w:val="00D76273"/>
    <w:rsid w:val="00D80365"/>
    <w:rsid w:val="00D83B61"/>
    <w:rsid w:val="00D84AE3"/>
    <w:rsid w:val="00D92A34"/>
    <w:rsid w:val="00D9584A"/>
    <w:rsid w:val="00DD0256"/>
    <w:rsid w:val="00DF0510"/>
    <w:rsid w:val="00DF645E"/>
    <w:rsid w:val="00E0646C"/>
    <w:rsid w:val="00E23613"/>
    <w:rsid w:val="00E26C6E"/>
    <w:rsid w:val="00E309E1"/>
    <w:rsid w:val="00E3177C"/>
    <w:rsid w:val="00E321BA"/>
    <w:rsid w:val="00E321C4"/>
    <w:rsid w:val="00E3714F"/>
    <w:rsid w:val="00E40066"/>
    <w:rsid w:val="00E43B13"/>
    <w:rsid w:val="00E50C3B"/>
    <w:rsid w:val="00E523CD"/>
    <w:rsid w:val="00E54C35"/>
    <w:rsid w:val="00E57C9D"/>
    <w:rsid w:val="00E66CCD"/>
    <w:rsid w:val="00E72512"/>
    <w:rsid w:val="00E752F2"/>
    <w:rsid w:val="00E77945"/>
    <w:rsid w:val="00E81F3D"/>
    <w:rsid w:val="00E83B9A"/>
    <w:rsid w:val="00E83FC3"/>
    <w:rsid w:val="00E8643D"/>
    <w:rsid w:val="00E86BF8"/>
    <w:rsid w:val="00EB72F7"/>
    <w:rsid w:val="00EB7C7C"/>
    <w:rsid w:val="00EC26D6"/>
    <w:rsid w:val="00EC56CF"/>
    <w:rsid w:val="00ED1B38"/>
    <w:rsid w:val="00ED32EE"/>
    <w:rsid w:val="00EE23CC"/>
    <w:rsid w:val="00EE2417"/>
    <w:rsid w:val="00EE5192"/>
    <w:rsid w:val="00EF08D3"/>
    <w:rsid w:val="00F00508"/>
    <w:rsid w:val="00F03393"/>
    <w:rsid w:val="00F03856"/>
    <w:rsid w:val="00F03F58"/>
    <w:rsid w:val="00F042E4"/>
    <w:rsid w:val="00F06CDE"/>
    <w:rsid w:val="00F104F0"/>
    <w:rsid w:val="00F11B2A"/>
    <w:rsid w:val="00F21CA9"/>
    <w:rsid w:val="00F23A29"/>
    <w:rsid w:val="00F24096"/>
    <w:rsid w:val="00F256D4"/>
    <w:rsid w:val="00F26897"/>
    <w:rsid w:val="00F40816"/>
    <w:rsid w:val="00F414EF"/>
    <w:rsid w:val="00F46420"/>
    <w:rsid w:val="00F47542"/>
    <w:rsid w:val="00F51556"/>
    <w:rsid w:val="00F5245D"/>
    <w:rsid w:val="00F60D54"/>
    <w:rsid w:val="00F668F7"/>
    <w:rsid w:val="00F72E3B"/>
    <w:rsid w:val="00F72EE0"/>
    <w:rsid w:val="00F74E2C"/>
    <w:rsid w:val="00F93F7E"/>
    <w:rsid w:val="00F978F9"/>
    <w:rsid w:val="00FA1AB6"/>
    <w:rsid w:val="00FA210F"/>
    <w:rsid w:val="00FA3EE7"/>
    <w:rsid w:val="00FA4D7B"/>
    <w:rsid w:val="00FA5F4A"/>
    <w:rsid w:val="00FB351B"/>
    <w:rsid w:val="00FB3C07"/>
    <w:rsid w:val="00FC0187"/>
    <w:rsid w:val="00FC3E3F"/>
    <w:rsid w:val="00FD4AE6"/>
    <w:rsid w:val="00FD515D"/>
    <w:rsid w:val="00FE3416"/>
    <w:rsid w:val="00FE3721"/>
    <w:rsid w:val="00FE4789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56"/>
    <w:rPr>
      <w:rFonts w:ascii="Arial" w:hAnsi="Arial"/>
      <w:sz w:val="20"/>
    </w:rPr>
  </w:style>
  <w:style w:type="paragraph" w:styleId="Naslov1">
    <w:name w:val="heading 1"/>
    <w:basedOn w:val="Normal"/>
    <w:link w:val="Heading1Char"/>
    <w:uiPriority w:val="9"/>
    <w:qFormat/>
    <w:rsid w:val="009E0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qFormat/>
    <w:rsid w:val="001F70B4"/>
    <w:pPr>
      <w:tabs>
        <w:tab w:val="left" w:pos="5205"/>
      </w:tabs>
      <w:spacing w:before="480" w:after="112" w:line="300" w:lineRule="exact"/>
    </w:pPr>
    <w:rPr>
      <w:caps/>
      <w:sz w:val="26"/>
    </w:rPr>
  </w:style>
  <w:style w:type="paragraph" w:styleId="Zaglavlje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link w:val="Zaglavlje"/>
    <w:uiPriority w:val="99"/>
    <w:rsid w:val="00FE3721"/>
  </w:style>
  <w:style w:type="paragraph" w:styleId="Podnoje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link w:val="Podnoje"/>
    <w:uiPriority w:val="99"/>
    <w:rsid w:val="009A28FB"/>
  </w:style>
  <w:style w:type="character" w:styleId="Hiperveza">
    <w:name w:val="Hyperlink"/>
    <w:basedOn w:val="Zadanifontodlomka"/>
    <w:uiPriority w:val="99"/>
    <w:unhideWhenUsed/>
    <w:qFormat/>
    <w:rsid w:val="00D72280"/>
    <w:rPr>
      <w:rFonts w:ascii="Arial" w:hAnsi="Arial"/>
      <w:b w:val="0"/>
      <w:i w:val="0"/>
      <w:color w:val="003399"/>
      <w:sz w:val="16"/>
      <w:u w:val="none"/>
    </w:rPr>
  </w:style>
  <w:style w:type="paragraph" w:customStyle="1" w:styleId="newsSubTitle">
    <w:name w:val="newsSubTitle"/>
    <w:basedOn w:val="Normal"/>
    <w:qFormat/>
    <w:rsid w:val="00CA2FF5"/>
    <w:pPr>
      <w:spacing w:after="300" w:line="300" w:lineRule="exact"/>
    </w:pPr>
    <w:rPr>
      <w:b/>
      <w:sz w:val="26"/>
    </w:rPr>
  </w:style>
  <w:style w:type="paragraph" w:customStyle="1" w:styleId="newsContent">
    <w:name w:val="newsContent"/>
    <w:basedOn w:val="Normal"/>
    <w:link w:val="newsContentChar"/>
    <w:qFormat/>
    <w:rsid w:val="00B97BC5"/>
    <w:pPr>
      <w:spacing w:after="260" w:line="260" w:lineRule="exact"/>
    </w:pPr>
    <w:rPr>
      <w:color w:val="000000" w:themeColor="text1"/>
    </w:rPr>
  </w:style>
  <w:style w:type="paragraph" w:customStyle="1" w:styleId="newsAddress">
    <w:name w:val="newsAddress"/>
    <w:basedOn w:val="Podnoje"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sz w:val="14"/>
    </w:rPr>
  </w:style>
  <w:style w:type="paragraph" w:customStyle="1" w:styleId="newsReference">
    <w:name w:val="newsReference"/>
    <w:basedOn w:val="Normal"/>
    <w:qFormat/>
    <w:rsid w:val="00974A27"/>
    <w:pPr>
      <w:spacing w:after="0" w:line="200" w:lineRule="exact"/>
    </w:pPr>
    <w:rPr>
      <w:sz w:val="14"/>
    </w:rPr>
  </w:style>
  <w:style w:type="paragraph" w:customStyle="1" w:styleId="newsRef">
    <w:name w:val="newsRef"/>
    <w:basedOn w:val="newsAddress"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Tekstrezerviranogmjesta">
    <w:name w:val="Placeholder Text"/>
    <w:basedOn w:val="Zadanifontodlomka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Podnoje"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sz w:val="14"/>
    </w:rPr>
  </w:style>
  <w:style w:type="paragraph" w:customStyle="1" w:styleId="newsEmbargo">
    <w:name w:val="newsEmbargo"/>
    <w:basedOn w:val="newsCoordinates"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qFormat/>
    <w:rsid w:val="00404699"/>
    <w:pPr>
      <w:spacing w:after="0" w:line="220" w:lineRule="exact"/>
    </w:pPr>
    <w:rPr>
      <w:color w:val="auto"/>
      <w:sz w:val="16"/>
    </w:rPr>
  </w:style>
  <w:style w:type="table" w:styleId="Reetkatablice">
    <w:name w:val="Table Grid"/>
    <w:basedOn w:val="Obinatablica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</w:rPr>
  </w:style>
  <w:style w:type="paragraph" w:customStyle="1" w:styleId="newsNotesNumber">
    <w:name w:val="newsNotesNumber"/>
    <w:basedOn w:val="newsNotes"/>
    <w:next w:val="Normal"/>
    <w:link w:val="newsNotesNumberChar"/>
    <w:qFormat/>
    <w:rsid w:val="00CB49DA"/>
    <w:rPr>
      <w:vertAlign w:val="superscript"/>
    </w:rPr>
  </w:style>
  <w:style w:type="character" w:customStyle="1" w:styleId="newsContentChar">
    <w:name w:val="newsContent Char"/>
    <w:basedOn w:val="Zadanifontodlomka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404699"/>
    <w:rPr>
      <w:rFonts w:ascii="Arial" w:hAnsi="Arial"/>
      <w:color w:val="000000" w:themeColor="text1"/>
      <w:sz w:val="16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paragraph" w:customStyle="1" w:styleId="EDR-Heading2">
    <w:name w:val="EDR-Heading 2"/>
    <w:basedOn w:val="Normal"/>
    <w:link w:val="EDR-Heading2Char"/>
    <w:qFormat/>
    <w:rsid w:val="00614E59"/>
    <w:pPr>
      <w:keepNext/>
      <w:keepLines/>
      <w:spacing w:before="100" w:beforeAutospacing="1" w:after="120" w:line="312" w:lineRule="auto"/>
      <w:contextualSpacing/>
      <w:outlineLvl w:val="1"/>
    </w:pPr>
    <w:rPr>
      <w:rFonts w:ascii="Calibri" w:eastAsia="Simsun (Founder Extended)" w:hAnsi="Calibri" w:cs="Times New Roman"/>
      <w:i/>
      <w:iCs/>
      <w:color w:val="000000"/>
      <w:sz w:val="28"/>
      <w:szCs w:val="28"/>
    </w:rPr>
  </w:style>
  <w:style w:type="character" w:customStyle="1" w:styleId="EDR-Heading2Char">
    <w:name w:val="EDR-Heading 2 Char"/>
    <w:basedOn w:val="Zadanifontodlomka"/>
    <w:link w:val="EDR-Heading2"/>
    <w:rsid w:val="00614E59"/>
    <w:rPr>
      <w:rFonts w:ascii="Calibri" w:eastAsia="Simsun (Founder Extended)" w:hAnsi="Calibri" w:cs="Times New Roman"/>
      <w:i/>
      <w:iCs/>
      <w:color w:val="000000"/>
      <w:sz w:val="28"/>
      <w:szCs w:val="28"/>
    </w:rPr>
  </w:style>
  <w:style w:type="paragraph" w:styleId="Odlomakpopisa">
    <w:name w:val="List Paragraph"/>
    <w:basedOn w:val="Normal"/>
    <w:uiPriority w:val="34"/>
    <w:qFormat/>
    <w:rsid w:val="00614E59"/>
    <w:pPr>
      <w:ind w:left="720"/>
      <w:contextualSpacing/>
    </w:pPr>
    <w:rPr>
      <w:rFonts w:ascii="Calibri" w:eastAsia="ヒラギノ角ゴ Pro W3" w:hAnsi="Calibri" w:cs="Times New Roman"/>
      <w:color w:val="000000"/>
      <w:szCs w:val="24"/>
    </w:rPr>
  </w:style>
  <w:style w:type="paragraph" w:styleId="Tekstkomentara">
    <w:name w:val="annotation text"/>
    <w:basedOn w:val="Normal"/>
    <w:link w:val="CommentTextChar"/>
    <w:uiPriority w:val="99"/>
    <w:unhideWhenUsed/>
    <w:rsid w:val="00614E5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Zadanifontodlomka"/>
    <w:link w:val="Tekstkomentara"/>
    <w:uiPriority w:val="99"/>
    <w:rsid w:val="00614E59"/>
    <w:rPr>
      <w:sz w:val="20"/>
      <w:szCs w:val="20"/>
    </w:rPr>
  </w:style>
  <w:style w:type="character" w:customStyle="1" w:styleId="header-line-3">
    <w:name w:val="header-line-3"/>
    <w:rsid w:val="00614E59"/>
  </w:style>
  <w:style w:type="character" w:customStyle="1" w:styleId="tgc">
    <w:name w:val="_tgc"/>
    <w:rsid w:val="00A64B2D"/>
  </w:style>
  <w:style w:type="character" w:styleId="Referencakomentara">
    <w:name w:val="annotation reference"/>
    <w:basedOn w:val="Zadanifontodlomka"/>
    <w:uiPriority w:val="99"/>
    <w:semiHidden/>
    <w:unhideWhenUsed/>
    <w:rsid w:val="00D14738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CommentSubjectChar"/>
    <w:uiPriority w:val="99"/>
    <w:semiHidden/>
    <w:unhideWhenUsed/>
    <w:rsid w:val="00D14738"/>
    <w:rPr>
      <w:b/>
      <w:bCs/>
    </w:rPr>
  </w:style>
  <w:style w:type="character" w:customStyle="1" w:styleId="CommentSubjectChar">
    <w:name w:val="Comment Subject Char"/>
    <w:basedOn w:val="CommentTextChar"/>
    <w:link w:val="Predmetkomentara"/>
    <w:uiPriority w:val="99"/>
    <w:semiHidden/>
    <w:rsid w:val="00D14738"/>
    <w:rPr>
      <w:b/>
      <w:bCs/>
      <w:sz w:val="20"/>
      <w:szCs w:val="20"/>
    </w:rPr>
  </w:style>
  <w:style w:type="character" w:customStyle="1" w:styleId="Heading1Char">
    <w:name w:val="Heading 1 Char"/>
    <w:basedOn w:val="Zadanifontodlomka"/>
    <w:link w:val="Naslov1"/>
    <w:uiPriority w:val="9"/>
    <w:rsid w:val="009E0B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ilfuvd">
    <w:name w:val="ilfuvd"/>
    <w:basedOn w:val="Zadanifontodlomka"/>
    <w:rsid w:val="00934F06"/>
  </w:style>
  <w:style w:type="character" w:customStyle="1" w:styleId="nondv-xref">
    <w:name w:val="nondv-xref"/>
    <w:basedOn w:val="Zadanifontodlomka"/>
    <w:rsid w:val="00404699"/>
    <w:rPr>
      <w:sz w:val="16"/>
    </w:rPr>
  </w:style>
  <w:style w:type="character" w:customStyle="1" w:styleId="entry-body">
    <w:name w:val="entry-body"/>
    <w:basedOn w:val="Zadanifontodlomka"/>
    <w:rsid w:val="00796846"/>
  </w:style>
  <w:style w:type="paragraph" w:styleId="Tekstfusnote">
    <w:name w:val="footnote text"/>
    <w:basedOn w:val="Normal"/>
    <w:link w:val="FootnoteTextChar"/>
    <w:uiPriority w:val="99"/>
    <w:unhideWhenUsed/>
    <w:rsid w:val="0097178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Zadanifontodlomka"/>
    <w:link w:val="Tekstfusnote"/>
    <w:uiPriority w:val="99"/>
    <w:rsid w:val="00971783"/>
    <w:rPr>
      <w:sz w:val="24"/>
      <w:szCs w:val="24"/>
    </w:rPr>
  </w:style>
  <w:style w:type="character" w:styleId="Referencafusnote">
    <w:name w:val="footnote reference"/>
    <w:basedOn w:val="Zadanifontodlomka"/>
    <w:uiPriority w:val="99"/>
    <w:unhideWhenUsed/>
    <w:rsid w:val="00971783"/>
    <w:rPr>
      <w:vertAlign w:val="superscript"/>
    </w:rPr>
  </w:style>
  <w:style w:type="paragraph" w:customStyle="1" w:styleId="Pa16">
    <w:name w:val="Pa16"/>
    <w:basedOn w:val="Normal"/>
    <w:next w:val="Normal"/>
    <w:uiPriority w:val="99"/>
    <w:rsid w:val="006E607C"/>
    <w:pPr>
      <w:autoSpaceDE w:val="0"/>
      <w:autoSpaceDN w:val="0"/>
      <w:adjustRightInd w:val="0"/>
      <w:spacing w:after="0" w:line="181" w:lineRule="atLeast"/>
    </w:pPr>
    <w:rPr>
      <w:rFonts w:ascii="Trivia Sans Book" w:hAnsi="Trivia Sans Book"/>
      <w:sz w:val="24"/>
      <w:szCs w:val="24"/>
    </w:rPr>
  </w:style>
  <w:style w:type="paragraph" w:styleId="Revizija">
    <w:name w:val="Revision"/>
    <w:hidden/>
    <w:uiPriority w:val="99"/>
    <w:semiHidden/>
    <w:rsid w:val="006E60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56"/>
    <w:rPr>
      <w:rFonts w:ascii="Arial" w:hAnsi="Arial"/>
      <w:sz w:val="20"/>
    </w:rPr>
  </w:style>
  <w:style w:type="paragraph" w:styleId="Naslov1">
    <w:name w:val="heading 1"/>
    <w:basedOn w:val="Normal"/>
    <w:link w:val="Heading1Char"/>
    <w:uiPriority w:val="9"/>
    <w:qFormat/>
    <w:rsid w:val="009E0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qFormat/>
    <w:rsid w:val="001F70B4"/>
    <w:pPr>
      <w:tabs>
        <w:tab w:val="left" w:pos="5205"/>
      </w:tabs>
      <w:spacing w:before="480" w:after="112" w:line="300" w:lineRule="exact"/>
    </w:pPr>
    <w:rPr>
      <w:caps/>
      <w:sz w:val="26"/>
    </w:rPr>
  </w:style>
  <w:style w:type="paragraph" w:styleId="Zaglavlje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link w:val="Zaglavlje"/>
    <w:uiPriority w:val="99"/>
    <w:rsid w:val="00FE3721"/>
  </w:style>
  <w:style w:type="paragraph" w:styleId="Podnoje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link w:val="Podnoje"/>
    <w:uiPriority w:val="99"/>
    <w:rsid w:val="009A28FB"/>
  </w:style>
  <w:style w:type="character" w:styleId="Hiperveza">
    <w:name w:val="Hyperlink"/>
    <w:basedOn w:val="Zadanifontodlomka"/>
    <w:uiPriority w:val="99"/>
    <w:unhideWhenUsed/>
    <w:qFormat/>
    <w:rsid w:val="00D72280"/>
    <w:rPr>
      <w:rFonts w:ascii="Arial" w:hAnsi="Arial"/>
      <w:b w:val="0"/>
      <w:i w:val="0"/>
      <w:color w:val="003399"/>
      <w:sz w:val="16"/>
      <w:u w:val="none"/>
    </w:rPr>
  </w:style>
  <w:style w:type="paragraph" w:customStyle="1" w:styleId="newsSubTitle">
    <w:name w:val="newsSubTitle"/>
    <w:basedOn w:val="Normal"/>
    <w:qFormat/>
    <w:rsid w:val="00CA2FF5"/>
    <w:pPr>
      <w:spacing w:after="300" w:line="300" w:lineRule="exact"/>
    </w:pPr>
    <w:rPr>
      <w:b/>
      <w:sz w:val="26"/>
    </w:rPr>
  </w:style>
  <w:style w:type="paragraph" w:customStyle="1" w:styleId="newsContent">
    <w:name w:val="newsContent"/>
    <w:basedOn w:val="Normal"/>
    <w:link w:val="newsContentChar"/>
    <w:qFormat/>
    <w:rsid w:val="00B97BC5"/>
    <w:pPr>
      <w:spacing w:after="260" w:line="260" w:lineRule="exact"/>
    </w:pPr>
    <w:rPr>
      <w:color w:val="000000" w:themeColor="text1"/>
    </w:rPr>
  </w:style>
  <w:style w:type="paragraph" w:customStyle="1" w:styleId="newsAddress">
    <w:name w:val="newsAddress"/>
    <w:basedOn w:val="Podnoje"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sz w:val="14"/>
    </w:rPr>
  </w:style>
  <w:style w:type="paragraph" w:customStyle="1" w:styleId="newsReference">
    <w:name w:val="newsReference"/>
    <w:basedOn w:val="Normal"/>
    <w:qFormat/>
    <w:rsid w:val="00974A27"/>
    <w:pPr>
      <w:spacing w:after="0" w:line="200" w:lineRule="exact"/>
    </w:pPr>
    <w:rPr>
      <w:sz w:val="14"/>
    </w:rPr>
  </w:style>
  <w:style w:type="paragraph" w:customStyle="1" w:styleId="newsRef">
    <w:name w:val="newsRef"/>
    <w:basedOn w:val="newsAddress"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Tekstrezerviranogmjesta">
    <w:name w:val="Placeholder Text"/>
    <w:basedOn w:val="Zadanifontodlomka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Podnoje"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sz w:val="14"/>
    </w:rPr>
  </w:style>
  <w:style w:type="paragraph" w:customStyle="1" w:styleId="newsEmbargo">
    <w:name w:val="newsEmbargo"/>
    <w:basedOn w:val="newsCoordinates"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qFormat/>
    <w:rsid w:val="00404699"/>
    <w:pPr>
      <w:spacing w:after="0" w:line="220" w:lineRule="exact"/>
    </w:pPr>
    <w:rPr>
      <w:color w:val="auto"/>
      <w:sz w:val="16"/>
    </w:rPr>
  </w:style>
  <w:style w:type="table" w:styleId="Reetkatablice">
    <w:name w:val="Table Grid"/>
    <w:basedOn w:val="Obinatablica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</w:rPr>
  </w:style>
  <w:style w:type="paragraph" w:customStyle="1" w:styleId="newsNotesNumber">
    <w:name w:val="newsNotesNumber"/>
    <w:basedOn w:val="newsNotes"/>
    <w:next w:val="Normal"/>
    <w:link w:val="newsNotesNumberChar"/>
    <w:qFormat/>
    <w:rsid w:val="00CB49DA"/>
    <w:rPr>
      <w:vertAlign w:val="superscript"/>
    </w:rPr>
  </w:style>
  <w:style w:type="character" w:customStyle="1" w:styleId="newsContentChar">
    <w:name w:val="newsContent Char"/>
    <w:basedOn w:val="Zadanifontodlomka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404699"/>
    <w:rPr>
      <w:rFonts w:ascii="Arial" w:hAnsi="Arial"/>
      <w:color w:val="000000" w:themeColor="text1"/>
      <w:sz w:val="16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paragraph" w:customStyle="1" w:styleId="EDR-Heading2">
    <w:name w:val="EDR-Heading 2"/>
    <w:basedOn w:val="Normal"/>
    <w:link w:val="EDR-Heading2Char"/>
    <w:qFormat/>
    <w:rsid w:val="00614E59"/>
    <w:pPr>
      <w:keepNext/>
      <w:keepLines/>
      <w:spacing w:before="100" w:beforeAutospacing="1" w:after="120" w:line="312" w:lineRule="auto"/>
      <w:contextualSpacing/>
      <w:outlineLvl w:val="1"/>
    </w:pPr>
    <w:rPr>
      <w:rFonts w:ascii="Calibri" w:eastAsia="Simsun (Founder Extended)" w:hAnsi="Calibri" w:cs="Times New Roman"/>
      <w:i/>
      <w:iCs/>
      <w:color w:val="000000"/>
      <w:sz w:val="28"/>
      <w:szCs w:val="28"/>
    </w:rPr>
  </w:style>
  <w:style w:type="character" w:customStyle="1" w:styleId="EDR-Heading2Char">
    <w:name w:val="EDR-Heading 2 Char"/>
    <w:basedOn w:val="Zadanifontodlomka"/>
    <w:link w:val="EDR-Heading2"/>
    <w:rsid w:val="00614E59"/>
    <w:rPr>
      <w:rFonts w:ascii="Calibri" w:eastAsia="Simsun (Founder Extended)" w:hAnsi="Calibri" w:cs="Times New Roman"/>
      <w:i/>
      <w:iCs/>
      <w:color w:val="000000"/>
      <w:sz w:val="28"/>
      <w:szCs w:val="28"/>
    </w:rPr>
  </w:style>
  <w:style w:type="paragraph" w:styleId="Odlomakpopisa">
    <w:name w:val="List Paragraph"/>
    <w:basedOn w:val="Normal"/>
    <w:uiPriority w:val="34"/>
    <w:qFormat/>
    <w:rsid w:val="00614E59"/>
    <w:pPr>
      <w:ind w:left="720"/>
      <w:contextualSpacing/>
    </w:pPr>
    <w:rPr>
      <w:rFonts w:ascii="Calibri" w:eastAsia="ヒラギノ角ゴ Pro W3" w:hAnsi="Calibri" w:cs="Times New Roman"/>
      <w:color w:val="000000"/>
      <w:szCs w:val="24"/>
    </w:rPr>
  </w:style>
  <w:style w:type="paragraph" w:styleId="Tekstkomentara">
    <w:name w:val="annotation text"/>
    <w:basedOn w:val="Normal"/>
    <w:link w:val="CommentTextChar"/>
    <w:uiPriority w:val="99"/>
    <w:unhideWhenUsed/>
    <w:rsid w:val="00614E5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Zadanifontodlomka"/>
    <w:link w:val="Tekstkomentara"/>
    <w:uiPriority w:val="99"/>
    <w:rsid w:val="00614E59"/>
    <w:rPr>
      <w:sz w:val="20"/>
      <w:szCs w:val="20"/>
    </w:rPr>
  </w:style>
  <w:style w:type="character" w:customStyle="1" w:styleId="header-line-3">
    <w:name w:val="header-line-3"/>
    <w:rsid w:val="00614E59"/>
  </w:style>
  <w:style w:type="character" w:customStyle="1" w:styleId="tgc">
    <w:name w:val="_tgc"/>
    <w:rsid w:val="00A64B2D"/>
  </w:style>
  <w:style w:type="character" w:styleId="Referencakomentara">
    <w:name w:val="annotation reference"/>
    <w:basedOn w:val="Zadanifontodlomka"/>
    <w:uiPriority w:val="99"/>
    <w:semiHidden/>
    <w:unhideWhenUsed/>
    <w:rsid w:val="00D14738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CommentSubjectChar"/>
    <w:uiPriority w:val="99"/>
    <w:semiHidden/>
    <w:unhideWhenUsed/>
    <w:rsid w:val="00D14738"/>
    <w:rPr>
      <w:b/>
      <w:bCs/>
    </w:rPr>
  </w:style>
  <w:style w:type="character" w:customStyle="1" w:styleId="CommentSubjectChar">
    <w:name w:val="Comment Subject Char"/>
    <w:basedOn w:val="CommentTextChar"/>
    <w:link w:val="Predmetkomentara"/>
    <w:uiPriority w:val="99"/>
    <w:semiHidden/>
    <w:rsid w:val="00D14738"/>
    <w:rPr>
      <w:b/>
      <w:bCs/>
      <w:sz w:val="20"/>
      <w:szCs w:val="20"/>
    </w:rPr>
  </w:style>
  <w:style w:type="character" w:customStyle="1" w:styleId="Heading1Char">
    <w:name w:val="Heading 1 Char"/>
    <w:basedOn w:val="Zadanifontodlomka"/>
    <w:link w:val="Naslov1"/>
    <w:uiPriority w:val="9"/>
    <w:rsid w:val="009E0B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ilfuvd">
    <w:name w:val="ilfuvd"/>
    <w:basedOn w:val="Zadanifontodlomka"/>
    <w:rsid w:val="00934F06"/>
  </w:style>
  <w:style w:type="character" w:customStyle="1" w:styleId="nondv-xref">
    <w:name w:val="nondv-xref"/>
    <w:basedOn w:val="Zadanifontodlomka"/>
    <w:rsid w:val="00404699"/>
    <w:rPr>
      <w:sz w:val="16"/>
    </w:rPr>
  </w:style>
  <w:style w:type="character" w:customStyle="1" w:styleId="entry-body">
    <w:name w:val="entry-body"/>
    <w:basedOn w:val="Zadanifontodlomka"/>
    <w:rsid w:val="00796846"/>
  </w:style>
  <w:style w:type="paragraph" w:styleId="Tekstfusnote">
    <w:name w:val="footnote text"/>
    <w:basedOn w:val="Normal"/>
    <w:link w:val="FootnoteTextChar"/>
    <w:uiPriority w:val="99"/>
    <w:unhideWhenUsed/>
    <w:rsid w:val="0097178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Zadanifontodlomka"/>
    <w:link w:val="Tekstfusnote"/>
    <w:uiPriority w:val="99"/>
    <w:rsid w:val="00971783"/>
    <w:rPr>
      <w:sz w:val="24"/>
      <w:szCs w:val="24"/>
    </w:rPr>
  </w:style>
  <w:style w:type="character" w:styleId="Referencafusnote">
    <w:name w:val="footnote reference"/>
    <w:basedOn w:val="Zadanifontodlomka"/>
    <w:uiPriority w:val="99"/>
    <w:unhideWhenUsed/>
    <w:rsid w:val="00971783"/>
    <w:rPr>
      <w:vertAlign w:val="superscript"/>
    </w:rPr>
  </w:style>
  <w:style w:type="paragraph" w:customStyle="1" w:styleId="Pa16">
    <w:name w:val="Pa16"/>
    <w:basedOn w:val="Normal"/>
    <w:next w:val="Normal"/>
    <w:uiPriority w:val="99"/>
    <w:rsid w:val="006E607C"/>
    <w:pPr>
      <w:autoSpaceDE w:val="0"/>
      <w:autoSpaceDN w:val="0"/>
      <w:adjustRightInd w:val="0"/>
      <w:spacing w:after="0" w:line="181" w:lineRule="atLeast"/>
    </w:pPr>
    <w:rPr>
      <w:rFonts w:ascii="Trivia Sans Book" w:hAnsi="Trivia Sans Book"/>
      <w:sz w:val="24"/>
      <w:szCs w:val="24"/>
    </w:rPr>
  </w:style>
  <w:style w:type="paragraph" w:styleId="Revizija">
    <w:name w:val="Revision"/>
    <w:hidden/>
    <w:uiPriority w:val="99"/>
    <w:semiHidden/>
    <w:rsid w:val="006E6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mcdda.europe.eu/data/stats2019).%20Referencij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mcdda.europe.eu/data/stats2019).%20Referencija" TargetMode="External"/><Relationship Id="rId17" Type="http://schemas.openxmlformats.org/officeDocument/2006/relationships/hyperlink" Target="http://www.emcdda.europa.eu/publications/emcdda-papers/m-health-applications-for-responding-to-drug-use_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mcdda.europa.eu/news/2018/low-thc-cannabis-products-being-sold-in-the-EU&#8211;key-legal-issues_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cdda.europa.eu/edr20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nlinelibrary.wiley.com/doi/10.1111/add.14525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emcdda.europa.eu/stats/2019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M\07%20Corporate_Identity\Templates\05.%20NEWS_MATERIAL_2014\News-release_EN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27684-E9A9-4216-B32F-947D90EC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News-release_EN_2015.dotx</Template>
  <TotalTime>2</TotalTime>
  <Pages>4</Pages>
  <Words>2591</Words>
  <Characters>14774</Characters>
  <Application>Microsoft Office Word</Application>
  <DocSecurity>0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 release EN</vt:lpstr>
      <vt:lpstr>News release EN</vt:lpstr>
    </vt:vector>
  </TitlesOfParts>
  <Manager>EMCDDA</Manager>
  <Company>CDT</Company>
  <LinksUpToDate>false</LinksUpToDate>
  <CharactersWithSpaces>17331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EN</dc:title>
  <dc:subject>News release EN</dc:subject>
  <dc:creator>CDT</dc:creator>
  <cp:keywords>News release EN</cp:keywords>
  <cp:lastModifiedBy>Josipa</cp:lastModifiedBy>
  <cp:revision>2</cp:revision>
  <cp:lastPrinted>2019-04-29T14:59:00Z</cp:lastPrinted>
  <dcterms:created xsi:type="dcterms:W3CDTF">2019-06-06T08:19:00Z</dcterms:created>
  <dcterms:modified xsi:type="dcterms:W3CDTF">2019-06-06T08:19:00Z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EN</vt:lpwstr>
  </property>
</Properties>
</file>